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ray20260729_8k.htm"/>
      <w:bookmarkStart w:id="1" w:name="ksaray20260729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br/>
      </w:r>
      <w:r>
        <w:rPr>
          <w:rFonts w:ascii="Times New Roman" w:hAnsi="Times New Roman"/>
          <w:b/>
          <w:caps w:val="false"/>
          <w:smallCaps w:val="false"/>
          <w:sz w:val="36"/>
        </w:rPr>
        <w:t>SECURITIES AND EXCHANGE COMMISSION</w:t>
      </w:r>
      <w:r>
        <w:rPr>
          <w:rFonts w:ascii="Times New Roman" w:hAnsi="Times New Roman"/>
          <w:caps w:val="false"/>
          <w:smallCaps w:val="false"/>
          <w:sz w:val="36"/>
        </w:rPr>
        <w:br/>
      </w:r>
      <w:r>
        <w:rPr>
          <w:rFonts w:ascii="Times New Roman" w:hAnsi="Times New Roman"/>
          <w:b/>
          <w:caps w:val="false"/>
          <w:smallCaps w:val="false"/>
          <w:sz w:val="36"/>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br/>
      </w: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ACCURAY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3380"/>
        <w:gridCol w:w="2300"/>
        <w:gridCol w:w="1550"/>
      </w:tblGrid>
      <w:tr>
        <w:trPr/>
        <w:tc>
          <w:tcPr>
            <w:tcW w:w="33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Delaware</w:t>
            </w:r>
            <w:r>
              <w:rPr>
                <w:rFonts w:ascii="Times New Roman" w:hAnsi="Times New Roman"/>
                <w:caps w:val="false"/>
                <w:smallCaps w:val="false"/>
                <w:sz w:val="20"/>
              </w:rPr>
              <w:br/>
            </w:r>
            <w:r>
              <w:rPr>
                <w:rFonts w:ascii="Times New Roman" w:hAnsi="Times New Roman"/>
                <w:b/>
                <w:caps w:val="false"/>
                <w:smallCaps w:val="false"/>
                <w:sz w:val="20"/>
              </w:rPr>
              <w:t>(State or Other Jurisdiction</w:t>
            </w:r>
            <w:r>
              <w:rPr>
                <w:rFonts w:ascii="Times New Roman" w:hAnsi="Times New Roman"/>
                <w:caps w:val="false"/>
                <w:smallCaps w:val="false"/>
                <w:sz w:val="20"/>
              </w:rPr>
              <w:br/>
            </w:r>
            <w:r>
              <w:rPr>
                <w:rFonts w:ascii="Times New Roman" w:hAnsi="Times New Roman"/>
                <w:b/>
                <w:caps w:val="false"/>
                <w:smallCaps w:val="false"/>
                <w:sz w:val="20"/>
              </w:rPr>
              <w:t>of Incorporation)</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1240 Deming Way</w:t>
            </w:r>
            <w:r>
              <w:rPr>
                <w:rFonts w:ascii="Times New Roman" w:hAnsi="Times New Roman"/>
                <w:caps w:val="false"/>
                <w:smallCaps w:val="false"/>
                <w:sz w:val="20"/>
              </w:rPr>
              <w:br/>
            </w:r>
            <w:r>
              <w:rPr>
                <w:rFonts w:ascii="Times New Roman" w:hAnsi="Times New Roman"/>
                <w:b/>
                <w:caps w:val="false"/>
                <w:smallCaps w:val="false"/>
                <w:sz w:val="20"/>
              </w:rPr>
              <w:t>Madison, Wisconsin</w:t>
            </w:r>
            <w:r>
              <w:rPr>
                <w:rFonts w:ascii="Times New Roman" w:hAnsi="Times New Roman"/>
                <w:caps w:val="false"/>
                <w:smallCaps w:val="false"/>
                <w:sz w:val="20"/>
              </w:rPr>
              <w:br/>
            </w:r>
            <w:r>
              <w:rPr>
                <w:rFonts w:ascii="Times New Roman" w:hAnsi="Times New Roman"/>
                <w:b/>
                <w:caps w:val="false"/>
                <w:smallCaps w:val="false"/>
                <w:sz w:val="20"/>
              </w:rPr>
              <w:t>(Address of Principal Executive Offices)</w:t>
            </w:r>
          </w:p>
        </w:tc>
        <w:tc>
          <w:tcPr>
            <w:tcW w:w="23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001-33301</w:t>
            </w:r>
            <w:r>
              <w:rPr>
                <w:rFonts w:ascii="Times New Roman" w:hAnsi="Times New Roman"/>
                <w:caps w:val="false"/>
                <w:smallCaps w:val="false"/>
                <w:sz w:val="20"/>
              </w:rPr>
              <w:br/>
            </w:r>
            <w:r>
              <w:rPr>
                <w:rFonts w:ascii="Times New Roman" w:hAnsi="Times New Roman"/>
                <w:b/>
                <w:caps w:val="false"/>
                <w:smallCaps w:val="false"/>
                <w:sz w:val="20"/>
              </w:rPr>
              <w:t>(Commission File Number)</w:t>
            </w:r>
          </w:p>
        </w:tc>
        <w:tc>
          <w:tcPr>
            <w:tcW w:w="15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20-8370041</w:t>
            </w:r>
            <w:r>
              <w:rPr>
                <w:rFonts w:ascii="Times New Roman" w:hAnsi="Times New Roman"/>
                <w:caps w:val="false"/>
                <w:smallCaps w:val="false"/>
                <w:sz w:val="20"/>
              </w:rPr>
              <w:br/>
            </w: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53717-1954</w:t>
            </w:r>
            <w:r>
              <w:rPr>
                <w:rFonts w:ascii="Times New Roman" w:hAnsi="Times New Roman"/>
                <w:caps w:val="false"/>
                <w:smallCaps w:val="false"/>
                <w:sz w:val="20"/>
              </w:rPr>
              <w:br/>
            </w: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(608) 824-2800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05" w:type="dxa"/>
        <w:jc w:val="left"/>
        <w:tblInd w:w="0" w:type="dxa"/>
        <w:tblLayout w:type="fixed"/>
        <w:tblCellMar>
          <w:top w:w="0" w:type="dxa"/>
          <w:left w:w="0" w:type="dxa"/>
          <w:bottom w:w="28" w:type="dxa"/>
          <w:right w:w="0" w:type="dxa"/>
        </w:tblCellMar>
      </w:tblPr>
      <w:tblGrid>
        <w:gridCol w:w="3665"/>
        <w:gridCol w:w="60"/>
        <w:gridCol w:w="860"/>
        <w:gridCol w:w="60"/>
        <w:gridCol w:w="2660"/>
      </w:tblGrid>
      <w:tr>
        <w:trPr/>
        <w:tc>
          <w:tcPr>
            <w:tcW w:w="3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w:t>
            </w:r>
            <w:r>
              <w:rPr>
                <w:rFonts w:ascii="Times New Roman" w:hAnsi="Times New Roman"/>
                <w:caps w:val="false"/>
                <w:smallCaps w:val="false"/>
                <w:sz w:val="20"/>
              </w:rPr>
              <w:br/>
            </w: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26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Name of each exchange</w:t>
            </w:r>
            <w:r>
              <w:rPr>
                <w:rFonts w:ascii="Times New Roman" w:hAnsi="Times New Roman"/>
                <w:caps w:val="false"/>
                <w:smallCaps w:val="false"/>
                <w:sz w:val="20"/>
              </w:rPr>
              <w:br/>
            </w:r>
            <w:r>
              <w:rPr>
                <w:rFonts w:ascii="Times New Roman" w:hAnsi="Times New Roman"/>
                <w:b/>
                <w:caps w:val="false"/>
                <w:smallCaps w:val="false"/>
                <w:sz w:val="20"/>
              </w:rPr>
              <w:t>on which registered</w:t>
            </w:r>
          </w:p>
        </w:tc>
      </w:tr>
      <w:tr>
        <w:trPr/>
        <w:tc>
          <w:tcPr>
            <w:tcW w:w="366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ARAY</w:t>
            </w:r>
          </w:p>
        </w:tc>
        <w:tc>
          <w:tcPr>
            <w:tcW w:w="60" w:type="dxa"/>
            <w:tcBorders/>
            <w:tcMar>
              <w:bottom w:w="0" w:type="dxa"/>
            </w:tcMar>
            <w:vAlign w:val="center"/>
          </w:tcPr>
          <w:p>
            <w:pPr>
              <w:pStyle w:val="TableContents"/>
              <w:bidi w:val="0"/>
              <w:spacing w:before="0" w:after="283"/>
              <w:jc w:val="left"/>
              <w:rPr/>
            </w:pPr>
            <w:r>
              <w:rPr/>
              <w:t> </w:t>
            </w:r>
          </w:p>
        </w:tc>
        <w:tc>
          <w:tcPr>
            <w:tcW w:w="266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1.01</w:t>
      </w:r>
      <w:r>
        <w:rPr>
          <w:rFonts w:ascii="Times New Roman" w:hAnsi="Times New Roman"/>
          <w:caps w:val="false"/>
          <w:smallCaps w:val="false"/>
          <w:sz w:val="20"/>
        </w:rPr>
        <w:t>         </w:t>
      </w:r>
      <w:r>
        <w:rPr>
          <w:rFonts w:ascii="Times New Roman" w:hAnsi="Times New Roman"/>
          <w:b/>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Series A Convertible Preferred Stock and Cancellation of Existing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29, 2026, Accuray Incorporated, a Delaware corporation (the “Company”), entered into a Securities Purchase Agreement (the “Purchase Agreement”) with certain existing investors of the Company party thereto (the “Investors”), pursuant to which the Company agreed to sell, and the Investors agreed to purchase, an aggregate of  55,000 shares of the Company’s Series A Convertible Preferred Stock, par value $0.001 per share (the “Series A Preferred Stock”), for an aggregate purchase price of $55.0 million, or $1,000 per share (the “Issuance”). The aggregate purchase price for the Series A Preferred Stock will be paid in the form of (i) $15.0 million in cash, which amount will be paid on the date the parties enter into the Purchase Agreement (the “Cash Investment”), and (ii) the conversion of $40.0 million of existing indebtedness held by the Investors under the Financing Agreement (as defined below), with such existing indebtedness to be cancelled and extinguished in exchange for shares of Series A Preferred Stock issued at the closing of the Issuance. The Issuance is subject to certain closing conditions, including approval by the Company’s stockholders of the Issuance and the implementation of a reverse stock split of the Company’s common stock, par value $0.001 per share (the “Common Stock”), at a ratio ranging from any whole number between 1-for-15 and 1-for-40 (the “Reverse Stock Split”), or such other ratio as may be approved by the Board of Directors of the Company (the “Board”), including at least one Preferred Director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Purchase Agreement, the Company and the Investors agreed that, effective as of, and contingent upon the closing of the Issuance, outstanding warrants to purchase an aggregate of approximately 27.6 million shares of Common Stock held by the Investors, consisting of (i) warrants exercisable for an aggregate of approximately 17.2 million shares of Common Stock at $1.68 per share on and after December 7, 2025 until June 6, 2032 (the “June 2025 Premium Warrants”), (ii) warrants exercisable for an aggregate of approximately 6.1 million shares of Common Stock at $1.50 per share on and after June 16, 2026 until December 15, 2032 (the “December 2025 Super Premium Warrants”), and (iii) warrants exercisable for an aggregate of approximately 4.3 million shares of Common Stock at $1.25 per share on and after June 16, 2026 until December 15, 2032 (the “December 2025 Premium Warrants,” and together with the June 2025 Premium Warrants and December 2025 Super Premium Warrants, the “Cancelled Warrants”), will automatically be cancelled and extinguished, with no further rights to the Cancelled Warrants remaining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Designation of 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terms of the Series A Preferred Stock shall be as set forth in the form of Certificate of Designations, Preferences and Rights of Series A Convertible Preferred Stock (the “Certificate of Designations”), attached as an exhibit to the Purchase Agreement filed as Exhibit 10.1 to this Current Report on Form 8-K, which will be, subject to and following approval of the Issuance by the stockholders of the Company, for filing with the Secretary of State for the State of Delaware prior to the closing of the Issuance, and will become effective upon filing. The Certificate of Designations will establish the designations, powers, preferences, and rights of the shares of the Series A Preferred Stock and the qualifications, limitations or restrictions thereof. The Series A Preferred Stock will rank senior to the Common Stock with respect to dividend rights and rights on the distribution of assets on any voluntary or involuntary liquidation, dissolution or winding up of the affairs of the Company. Dividends will accrue on the Series A Preferred Stock at a rate of 8% per annum (the “Accruing Dividends”). The Series A Preferred Stock will have a liquidation preference equal to the greater of (x) $1,000 per share plus any unpaid Accruing Dividends accrued up to and including the date of such liquidation and (y) the amount such holder would have received in respect of such share had it been converted into Common Stock immediately prior to such liquidation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Series A Preferred Stock will be convertible at the option of the holders thereof at any time into shares of Common Stock at an initial conversion rate of 2,000 shares of Common Stock per $1,000 principal amount (equivalent to an initial conversion price of approximately $0.50 per share), in each case, as adjusted for any stock dividend, stock split, stock combination, or reclassification of the Common Stock, including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Voting &amp; Consent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Holders of the Series A Preferred Stock will not be entitled to vote with the holders of the Common Stock on an as-converted basis. Until all of the Series A Preferred Stock have been converted, repurchased or otherwise satisfied in accordance with their terms, the Company will be required to obtain the prior written consent of the holders of at least a majority of the then-outstanding shares of Series A Preferred Stock (the “Required Holders”) before the Company or any of its subsidiaries may take certain actions, including issuing capital stock that ranks pari passu with or senior to the Series A Preferred Stock and taking certain actions with respect to the size of the Board and the composition of its committees. In addition, the affirmative vote or written consent of the Required Holders, voting together as a single class, will be required before the Company may increase or decrease the authorized numbers of the Board, or, unless otherwise approved by at least one Preferred Director (as defined below), change the composition or charter of any committee of the Board if such change would alter, impair or impact the participation rights of any Preferred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Governance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Purchase Agreement, the Company will decrease the size of its Board to seven members, effective upon the execution of the Purchase Agreement. Under the terms of the Purchase Agreement, following the closing of the Issuance, TCW Asset Management Company LLC (“TCW”) shall have the right to designate two members of the Board (the “Preferred Directors”). TCW has initially designated Chan W. Galbato and Steven F. Mayer, both of whom are currently serving as members of the Board, to serve as the Preferred Directors. In addition, for so long as TCW is entitled to designate at least one Preferred Director, (i) each of the Audit Committee, the Compensation Committee and the Nominating and Corporate Governance Committee of the Board shall include at least one Preferred Director (subject to applicable independence requirements and applicable law), and (ii) the Company shall not establish any executive committee, finance committee or other committee of the Board with material authority over any of the matters that require the approval of the holders of the Series A Preferred Stock under the Certificate of Designations unless a Preferred Director is a member of such committee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Registration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terms of the Purchase Agreement, in connection with the Issuance, the Company has agreed to provide to the Investors certain customary registration rights with respect to shares of the Common Stock issued in connection with any conversion of the Series A Preferred Stock or upon exercise of the Warrants (as defined below), including an agreement by the Company to file resale registration statements for such shares of Common Stock. In addition, the Company has agreed to customary indemnification provisions relating to indemnification for any material misstatements or omissions by the Company in connection with the registration of the Investors’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foregoing description of the Purchase Agreement does not purport to be complete and is subject to, and qualified in its entirety by, the full text of the Purchase Agreement, which is filed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Purchase Agreement (including the form of Certificate of Designations) has been filed as Exhibit 10.1 to this Current Report on Form 8-K to provide investors and securityholders with information regarding its terms and conditions. It is not intended to provide any other information about the Investors or the Company. The Purchase Agreement contains representations, warranties, and covenants of the parties thereto made to and solely for the benefit of each other, and such representations, warranties, and covenants may be subject to materiality and other qualifiers applicable to the contracting parties that differ from those that may be viewed as material to investors. Accordingly, investors and securityholders should not rely on the representations, warranties, and covenants as characterizations of the actual state of facts. Moreover, information concerning the subject matter of the representations, warranties, and covenants may change after the date of the Purchase Agreement, which subsequent information may or may not be fully reflected in the Company’s public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connection with entering into the Purchase Agreement and the amendment to the Financing Agreement described below, the Company issued to the Investors warrants (the “Warrants”) to purchase up to an aggregate of approximately 15.3 million shares of Common Stock, at purchase price of $0.01 per share of Common Stock. The Warrants are exercisable for a period of 7 years after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foregoing description of the Warrants does not purport to be complete and is subject to, and qualified in its entirety by, the full text of the form of Warrant, which is filed as Exhibit 4.1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Amendment to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29, 2026, the Company entered into Amendment No. 3 to Financing Agreement (the “Third Amendment”) in respect of its Financing Agreement, dated as of June 6, 2025 (as amended by the Third Amendment, and as further amended, amended and restated, supplemented, revised, or otherwise modified from time to time, the “Financing Agreement”), by and among the Company, the guarantors party thereto, and TCW, as administrative agent and collateral agent and the other parties signatory thereto. The Third Amendment amends the Financing Agreement to, among other things, (i) provide a covenant holiday through December 31, 2027 with respect to the Company’s compliance with the Total Leverage Ratio and Fixed Charge Coverage Ratio (each as defined in the Financing Agreement) financial covenants, (ii) modify the terms of the minimum liquidity requirement, (iii) increase certain fees applicable to prepayments, (iv) provide that if the Purchase Agreement is terminated, the Cash Investment is deemed to be a secured obligation under the Financing Agreement and subject to repayment, together with a $15.0 million fee, upon repayment or satisfaction of the obligations (or earlier acceleration thereof), (v) to provide for an additional $5.0 million in aggregate principal amount of Delayed Draw Term Loans (as defined in the Financing Agreement), subject to satisfaction of certain borrowing conditions, and (vi) convert the revolving loan facility under the Financing Agreement into an asset-based revolver with related changes to the borrowing conditions and covenants. In addition, pursuant to the Third Amendment, the Company agreed to pay certain amendment fees totaling $250,000.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stockholder approval is not obtained for the Issuance, (i) the Cash Investment will automatically be deemed to be an Obligation (as defined in the Financing Agreement) under the Financing Agreement, and (ii) the Company will be required to pay a fee in an amount equal to $15.0 million to TCW, as administrative agent under the Financing Agreement, to be allocated among the Investors in accordance with the amounts funded by such Investors. Such amount shall be fully earned, non-refundable, and due on such date of termination, and payable in full in cash on the earliest to occur of (i) the final maturity date under the Financing Agreement; (ii) the date on which all Obligations that are then due and payable are indefeasibly paid in full, in cash; (iii) the date on which all or any portion of the Obligations is accelerated; or (iv) the date on which any of the Obligations is satisfied, released, paid, restructured, reorganized, replaced, reinstated, defeased or compromised, including through foreclosure (whether by judicial proceeding or otherwise), a deed in lieu of foreclosure, or a distribution of any kind made to TCW, as administrative agent under the Financing Agreement, or the lenders in full or partial satisfaction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foregoing description of the Third Amendment does not purport to be complete and is subject to, and qualified in its entirety by, the full text of the Third Amendment, which is filed as Exhibit 10.2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3.02</w:t>
      </w:r>
      <w:r>
        <w:rPr>
          <w:rFonts w:ascii="Times New Roman" w:hAnsi="Times New Roman"/>
          <w:caps w:val="false"/>
          <w:smallCaps w:val="false"/>
          <w:sz w:val="20"/>
        </w:rPr>
        <w:t>         </w:t>
      </w:r>
      <w:r>
        <w:rPr>
          <w:rFonts w:ascii="Times New Roman" w:hAnsi="Times New Roman"/>
          <w:b/>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contained in Item 1.01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described in Item 1.01, pursuant to the terms of the Purchase Agreement, the Company has agreed to issue shares of Series A Preferred Stock and has issued the Warrants. This issuance and sale of the Series A Preferred Stock and the Warrants is exempt from registration under the Securities Act of 1933, as amended (the “Securities Act”), pursuant to Section 4(a)(2) of the Securities Act. Each Investor represented to the Company that it is an “accredited investor” as defined in Rule 501 of the Securities Act and that the Series A Preferred Stock, Warrants and shares of Common Stock that may be issuable upon conversion or exercise of the Series A Preferred Stock and the Warrants, as the case may be, is being acquired for investment purposes and not with a view to, or for sale in connection with, any distribution thereof, and appropriate legends will be affixed to any certificates evidencing shares of the Series A Preferred Stock, Warrants or shares of the Common Stock issued in connection with any future conversion of the Series A Preferred Stock or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5.02 </w:t>
      </w:r>
      <w:r>
        <w:rPr>
          <w:rFonts w:ascii="Times New Roman" w:hAnsi="Times New Roman"/>
          <w:caps w:val="false"/>
          <w:smallCaps w:val="false"/>
          <w:sz w:val="20"/>
        </w:rPr>
        <w:t xml:space="preserve">         </w:t>
      </w:r>
      <w:r>
        <w:rPr>
          <w:rFonts w:ascii="Times New Roman" w:hAnsi="Times New Roman"/>
          <w:b/>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connection with the execution of the Purchase Agreement, Beverly Huss and Anne LeGrand resigned from the Board effective July 29, 2026.   Neither resignation was a result of any disagreement with the Company or the Board of Directors of the Company, or any matter relating to the Company’s operations, policies or practices.  The Company thanks Mses. Huss and LeGrand for their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8.01</w:t>
      </w:r>
      <w:r>
        <w:rPr>
          <w:rFonts w:ascii="Times New Roman" w:hAnsi="Times New Roman"/>
          <w:caps w:val="false"/>
          <w:smallCaps w:val="false"/>
          <w:sz w:val="20"/>
        </w:rPr>
        <w:t>         </w:t>
      </w:r>
      <w:r>
        <w:rPr>
          <w:rFonts w:ascii="Times New Roman" w:hAnsi="Times New Roman"/>
          <w:b/>
          <w:caps w:val="false"/>
          <w:smallCaps w:val="false"/>
          <w:sz w:val="20"/>
        </w:rPr>
        <w:t>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29, 2026, the Company issued a press release (the “Press Release”) announcing the execution of the Purchase Agreement and the transactions contemplated by the Purchase Agreement. A copy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w:t>
      </w:r>
      <w:r>
        <w:rPr>
          <w:rFonts w:ascii="Times New Roman" w:hAnsi="Times New Roman"/>
          <w:b/>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
        <w:gridCol w:w="9555"/>
      </w:tblGrid>
      <w:tr>
        <w:trPr/>
        <w:tc>
          <w:tcPr>
            <w:tcW w:w="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9555" w:type="dxa"/>
            <w:tcBorders/>
            <w:vAlign w:val="center"/>
          </w:tcPr>
          <w:p>
            <w:pPr>
              <w:pStyle w:val="TableContents"/>
              <w:bidi w:val="0"/>
              <w:spacing w:before="0" w:after="0"/>
              <w:ind w:left="0" w:right="0" w:hanging="0"/>
              <w:jc w:val="left"/>
              <w:rPr/>
            </w:pPr>
            <w:hyperlink w:anchor="ex_995021.htm">
              <w:r>
                <w:rPr>
                  <w:rStyle w:val="InternetLink"/>
                  <w:rFonts w:ascii="Times New Roman" w:hAnsi="Times New Roman"/>
                  <w:caps w:val="false"/>
                  <w:smallCaps w:val="false"/>
                  <w:sz w:val="20"/>
                </w:rPr>
                <w:t>Form of Warrant.</w:t>
              </w:r>
            </w:hyperlink>
          </w:p>
        </w:tc>
      </w:tr>
      <w:tr>
        <w:trPr/>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9555" w:type="dxa"/>
            <w:tcBorders/>
            <w:vAlign w:val="center"/>
          </w:tcPr>
          <w:p>
            <w:pPr>
              <w:pStyle w:val="TableContents"/>
              <w:bidi w:val="0"/>
              <w:spacing w:before="0" w:after="0"/>
              <w:ind w:left="0" w:right="0" w:hanging="0"/>
              <w:jc w:val="left"/>
              <w:rPr/>
            </w:pPr>
            <w:hyperlink w:anchor="ex_995022.htm">
              <w:r>
                <w:rPr>
                  <w:rStyle w:val="InternetLink"/>
                  <w:rFonts w:ascii="Times New Roman" w:hAnsi="Times New Roman"/>
                  <w:caps w:val="false"/>
                  <w:smallCaps w:val="false"/>
                  <w:sz w:val="20"/>
                </w:rPr>
                <w:t>Securities Purchase Agreement, dated July 29, 2026, by and between Accuray Incorporated and the Investors.</w:t>
              </w:r>
            </w:hyperlink>
          </w:p>
        </w:tc>
      </w:tr>
      <w:tr>
        <w:trPr/>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9555" w:type="dxa"/>
            <w:tcBorders/>
            <w:vAlign w:val="center"/>
          </w:tcPr>
          <w:p>
            <w:pPr>
              <w:pStyle w:val="TableContents"/>
              <w:bidi w:val="0"/>
              <w:spacing w:before="0" w:after="0"/>
              <w:ind w:left="0" w:right="0" w:hanging="0"/>
              <w:jc w:val="left"/>
              <w:rPr/>
            </w:pPr>
            <w:hyperlink w:anchor="ex_995040.htm">
              <w:r>
                <w:rPr>
                  <w:rStyle w:val="InternetLink"/>
                  <w:rFonts w:ascii="Times New Roman" w:hAnsi="Times New Roman"/>
                  <w:caps w:val="false"/>
                  <w:smallCaps w:val="false"/>
                  <w:sz w:val="20"/>
                </w:rPr>
                <w:t>Amendment No. 3 to Financing Agreement, dated July 29, 2026, by and among Accuray Incorporated, the guarantors listed thereto, the lenders listed thereto, TCW Asset Management Company LLC, as collateral agent and administrative agent, and Wingspire Capital LLC, as servicing agent.</w:t>
              </w:r>
            </w:hyperlink>
          </w:p>
        </w:tc>
      </w:tr>
      <w:tr>
        <w:trPr/>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9555" w:type="dxa"/>
            <w:tcBorders/>
            <w:vAlign w:val="center"/>
          </w:tcPr>
          <w:p>
            <w:pPr>
              <w:pStyle w:val="TableContents"/>
              <w:bidi w:val="0"/>
              <w:spacing w:before="0" w:after="0"/>
              <w:ind w:left="0" w:right="0" w:hanging="0"/>
              <w:jc w:val="left"/>
              <w:rPr/>
            </w:pPr>
            <w:hyperlink w:anchor="ex_995275.htm">
              <w:r>
                <w:rPr>
                  <w:rStyle w:val="InternetLink"/>
                  <w:rFonts w:ascii="Times New Roman" w:hAnsi="Times New Roman"/>
                  <w:caps w:val="false"/>
                  <w:smallCaps w:val="false"/>
                  <w:sz w:val="20"/>
                </w:rPr>
                <w:t>Press Release, dated July 29, 2026.</w:t>
              </w:r>
            </w:hyperlink>
          </w:p>
        </w:tc>
      </w:tr>
      <w:tr>
        <w:trPr/>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95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00" w:type="dxa"/>
        <w:jc w:val="left"/>
        <w:tblInd w:w="0" w:type="dxa"/>
        <w:tblLayout w:type="fixed"/>
        <w:tblCellMar>
          <w:top w:w="0" w:type="dxa"/>
          <w:left w:w="0" w:type="dxa"/>
          <w:bottom w:w="0" w:type="dxa"/>
          <w:right w:w="0" w:type="dxa"/>
        </w:tblCellMar>
      </w:tblPr>
      <w:tblGrid>
        <w:gridCol w:w="1610"/>
        <w:gridCol w:w="575"/>
        <w:gridCol w:w="2315"/>
      </w:tblGrid>
      <w:tr>
        <w:trPr/>
        <w:tc>
          <w:tcPr>
            <w:tcW w:w="1610"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Accuray Incorporated</w:t>
            </w:r>
          </w:p>
        </w:tc>
      </w:tr>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29, 2026</w:t>
            </w:r>
          </w:p>
        </w:tc>
        <w:tc>
          <w:tcPr>
            <w:tcW w:w="57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By:</w:t>
            </w:r>
          </w:p>
        </w:tc>
        <w:tc>
          <w:tcPr>
            <w:tcW w:w="2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Ali Pervaiz</w:t>
            </w:r>
          </w:p>
        </w:tc>
      </w:tr>
      <w:tr>
        <w:trPr/>
        <w:tc>
          <w:tcPr>
            <w:tcW w:w="161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2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Ali Pervaiz</w:t>
            </w:r>
          </w:p>
        </w:tc>
      </w:tr>
      <w:tr>
        <w:trPr/>
        <w:tc>
          <w:tcPr>
            <w:tcW w:w="161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w:t>
            </w:r>
          </w:p>
        </w:tc>
        <w:tc>
          <w:tcPr>
            <w:tcW w:w="2315" w:type="dxa"/>
            <w:tcBorders/>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SVP,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95021.htm"/>
      <w:bookmarkStart w:id="3" w:name="ksex_995021"/>
      <w:bookmarkEnd w:id="2"/>
      <w:bookmarkEnd w:id="3"/>
      <w:r>
        <w:rPr>
          <w:rFonts w:ascii="Times New Roman;Times;serif" w:hAnsi="Times New Roman;Times;serif"/>
          <w:b/>
          <w:sz w:val="20"/>
        </w:rPr>
        <w:t>Exhibit 4.1</w:t>
      </w:r>
      <w:r>
        <w:br w:type="page"/>
      </w:r>
    </w:p>
    <w:p>
      <w:pPr>
        <w:pStyle w:val="TextBody"/>
        <w:bidi w:val="0"/>
        <w:spacing w:before="0" w:after="0"/>
        <w:ind w:left="0" w:right="0" w:hanging="0"/>
        <w:jc w:val="left"/>
        <w:rPr/>
      </w:pPr>
      <w:r>
        <w:rPr/>
        <w:t> </w:t>
      </w:r>
    </w:p>
    <w:p>
      <w:pPr>
        <w:pStyle w:val="TextBody"/>
        <w:bidi w:val="0"/>
        <w:spacing w:before="0" w:after="0"/>
        <w:ind w:left="160" w:right="0" w:hanging="0"/>
        <w:jc w:val="right"/>
        <w:rPr>
          <w:rFonts w:ascii="Times New Roman" w:hAnsi="Times New Roman"/>
          <w:b/>
          <w:i/>
          <w:caps w:val="false"/>
          <w:smallCaps w:val="false"/>
          <w:sz w:val="20"/>
        </w:rPr>
      </w:pPr>
      <w:r>
        <w:rPr>
          <w:rFonts w:ascii="Times New Roman" w:hAnsi="Times New Roman"/>
          <w:b/>
          <w:i/>
          <w:caps w:val="false"/>
          <w:smallCaps w:val="false"/>
          <w:sz w:val="20"/>
        </w:rPr>
        <w:t>Execution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THIS WARRANT AND THE SECURITIES ISSUABLE UPON EXERCISE OF THIS WARRANT REPRESENTED BY THIS CERTIFICATE HAVE BEEN ACQUIRED FOR INVESTMENT AND HAVE NOT BEEN REGISTERED UNDER THE SECURITIES ACT OF 1933, AS AMENDED (THE </w:t>
      </w:r>
      <w:r>
        <w:rPr>
          <w:rFonts w:ascii="Times New Roman" w:hAnsi="Times New Roman"/>
          <w:caps w:val="false"/>
          <w:smallCaps w:val="false"/>
          <w:sz w:val="20"/>
        </w:rPr>
        <w:t>“</w:t>
      </w:r>
      <w:r>
        <w:rPr>
          <w:rFonts w:ascii="Times New Roman" w:hAnsi="Times New Roman"/>
          <w:b/>
          <w:caps w:val="false"/>
          <w:smallCaps w:val="false"/>
          <w:sz w:val="20"/>
        </w:rPr>
        <w:t>SECURITIES ACT</w:t>
      </w:r>
      <w:r>
        <w:rPr>
          <w:rFonts w:ascii="Times New Roman" w:hAnsi="Times New Roman"/>
          <w:caps w:val="false"/>
          <w:smallCaps w:val="false"/>
          <w:sz w:val="20"/>
        </w:rPr>
        <w:t>”</w:t>
      </w:r>
      <w:r>
        <w:rPr>
          <w:rFonts w:ascii="Times New Roman" w:hAnsi="Times New Roman"/>
          <w:b/>
          <w:caps w:val="false"/>
          <w:smallCaps w:val="false"/>
          <w:sz w:val="20"/>
        </w:rPr>
        <w:t>), OR ANY STATE SECURITIES OR BLUE SKY LAWS. THESE SECURITIES MAY NOT BE SOLD OR TRANSFERRED IN THE ABSENCE OF SUCH REGISTRATION OR AN EXEMPTION THEREFROM UNDER THE SECURITIES ACT OR APPLICABLE STATE SECURITIES OR BLUE SKY LAWS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Issue Date: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ACCURAY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Common Stock Purchase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Accuray Incorporated, a Delaware corporation (the “</w:t>
      </w:r>
      <w:r>
        <w:rPr>
          <w:rFonts w:ascii="Times New Roman" w:hAnsi="Times New Roman"/>
          <w:b/>
          <w:i/>
          <w:caps w:val="false"/>
          <w:smallCaps w:val="false"/>
          <w:sz w:val="20"/>
        </w:rPr>
        <w:t>Company</w:t>
      </w:r>
      <w:r>
        <w:rPr>
          <w:rFonts w:ascii="Times New Roman" w:hAnsi="Times New Roman"/>
          <w:caps w:val="false"/>
          <w:smallCaps w:val="false"/>
          <w:sz w:val="20"/>
        </w:rPr>
        <w:t>”), for value received, hereby certifies that [●] (the “</w:t>
      </w:r>
      <w:r>
        <w:rPr>
          <w:rFonts w:ascii="Times New Roman" w:hAnsi="Times New Roman"/>
          <w:b/>
          <w:i/>
          <w:caps w:val="false"/>
          <w:smallCaps w:val="false"/>
          <w:sz w:val="20"/>
        </w:rPr>
        <w:t>Holder</w:t>
      </w:r>
      <w:r>
        <w:rPr>
          <w:rFonts w:ascii="Times New Roman" w:hAnsi="Times New Roman"/>
          <w:caps w:val="false"/>
          <w:smallCaps w:val="false"/>
          <w:sz w:val="20"/>
        </w:rPr>
        <w:t xml:space="preserve">”), subject to the terms and conditions hereof (including, without limitation, </w:t>
      </w:r>
      <w:r>
        <w:rPr>
          <w:rFonts w:ascii="Times New Roman" w:hAnsi="Times New Roman"/>
          <w:caps w:val="false"/>
          <w:smallCaps w:val="false"/>
          <w:sz w:val="20"/>
          <w:u w:val="single"/>
        </w:rPr>
        <w:t>Section 1.6</w:t>
      </w:r>
      <w:r>
        <w:rPr>
          <w:rFonts w:ascii="Times New Roman" w:hAnsi="Times New Roman"/>
          <w:caps w:val="false"/>
          <w:smallCaps w:val="false"/>
          <w:sz w:val="20"/>
        </w:rPr>
        <w:t>), shall be entitled to purchase from the Company, at any time and from time to time after the Issue Date and on or prior to the close of business on [●], 2033 (the “</w:t>
      </w:r>
      <w:r>
        <w:rPr>
          <w:rFonts w:ascii="Times New Roman" w:hAnsi="Times New Roman"/>
          <w:b/>
          <w:i/>
          <w:caps w:val="false"/>
          <w:smallCaps w:val="false"/>
          <w:sz w:val="20"/>
        </w:rPr>
        <w:t>Expiration Date</w:t>
      </w:r>
      <w:r>
        <w:rPr>
          <w:rFonts w:ascii="Times New Roman" w:hAnsi="Times New Roman"/>
          <w:caps w:val="false"/>
          <w:smallCaps w:val="false"/>
          <w:sz w:val="20"/>
        </w:rPr>
        <w:t>”), [●]fully paid and nonassessable shares (individually, a “</w:t>
      </w:r>
      <w:r>
        <w:rPr>
          <w:rFonts w:ascii="Times New Roman" w:hAnsi="Times New Roman"/>
          <w:b/>
          <w:i/>
          <w:caps w:val="false"/>
          <w:smallCaps w:val="false"/>
          <w:sz w:val="20"/>
        </w:rPr>
        <w:t>Warrant Share</w:t>
      </w:r>
      <w:r>
        <w:rPr>
          <w:rFonts w:ascii="Times New Roman" w:hAnsi="Times New Roman"/>
          <w:caps w:val="false"/>
          <w:smallCaps w:val="false"/>
          <w:sz w:val="20"/>
        </w:rPr>
        <w:t>” and collectively, the “</w:t>
      </w:r>
      <w:r>
        <w:rPr>
          <w:rFonts w:ascii="Times New Roman" w:hAnsi="Times New Roman"/>
          <w:b/>
          <w:i/>
          <w:caps w:val="false"/>
          <w:smallCaps w:val="false"/>
          <w:sz w:val="20"/>
        </w:rPr>
        <w:t>Warrant Shares</w:t>
      </w:r>
      <w:r>
        <w:rPr>
          <w:rFonts w:ascii="Times New Roman" w:hAnsi="Times New Roman"/>
          <w:caps w:val="false"/>
          <w:smallCaps w:val="false"/>
          <w:sz w:val="20"/>
        </w:rPr>
        <w:t>”) of common stock, par value $0.001 per share, of the Company (the “</w:t>
      </w:r>
      <w:r>
        <w:rPr>
          <w:rFonts w:ascii="Times New Roman" w:hAnsi="Times New Roman"/>
          <w:b/>
          <w:i/>
          <w:caps w:val="false"/>
          <w:smallCaps w:val="false"/>
          <w:sz w:val="20"/>
        </w:rPr>
        <w:t>Common Stock</w:t>
      </w:r>
      <w:r>
        <w:rPr>
          <w:rFonts w:ascii="Times New Roman" w:hAnsi="Times New Roman"/>
          <w:caps w:val="false"/>
          <w:smallCaps w:val="false"/>
          <w:sz w:val="20"/>
        </w:rPr>
        <w:t>”), at a price per share equal to the Exercise Price. The number of Warrant Shares is subject to adjustment as provided herein, and all references to “Common Stock” herein shall be deemed to include any such adjustment or series of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This warrant (this “</w:t>
      </w:r>
      <w:r>
        <w:rPr>
          <w:rFonts w:ascii="Times New Roman" w:hAnsi="Times New Roman"/>
          <w:b/>
          <w:i/>
          <w:caps w:val="false"/>
          <w:smallCaps w:val="false"/>
          <w:sz w:val="20"/>
        </w:rPr>
        <w:t>Warrant</w:t>
      </w:r>
      <w:r>
        <w:rPr>
          <w:rFonts w:ascii="Times New Roman" w:hAnsi="Times New Roman"/>
          <w:caps w:val="false"/>
          <w:smallCaps w:val="false"/>
          <w:sz w:val="20"/>
        </w:rPr>
        <w:t>” and, together with all such Warrants issued on the Issue Date, the “</w:t>
      </w:r>
      <w:r>
        <w:rPr>
          <w:rFonts w:ascii="Times New Roman" w:hAnsi="Times New Roman"/>
          <w:b/>
          <w:i/>
          <w:caps w:val="false"/>
          <w:smallCaps w:val="false"/>
          <w:sz w:val="20"/>
        </w:rPr>
        <w:t>Warrants</w:t>
      </w:r>
      <w:r>
        <w:rPr>
          <w:rFonts w:ascii="Times New Roman" w:hAnsi="Times New Roman"/>
          <w:caps w:val="false"/>
          <w:smallCaps w:val="false"/>
          <w:sz w:val="20"/>
        </w:rPr>
        <w:t>”) is being issued by the Company to the Holder as consideration for the Financing Agreement Amendment (as defined below), which amends that certain Financing Agreement (as defined below) and in connection with the transactions contemplated by that certain Securities Purchase Agreement, dated as of [●], 2026, by and among the Company and certain investors identified on the Schedule of Investors attached thereto. The following terms used herein shall have the meanings set forth below when used in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Adjustment Event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6.8</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Affiliate</w:t>
      </w:r>
      <w:r>
        <w:rPr>
          <w:rFonts w:ascii="Times New Roman" w:hAnsi="Times New Roman"/>
          <w:caps w:val="false"/>
          <w:smallCaps w:val="false"/>
          <w:sz w:val="20"/>
        </w:rPr>
        <w:t>” means, with respect to any specified Person, any other Person directly or indirectly controlling, controlled by, or under common control with, such specified Person. The term “</w:t>
      </w:r>
      <w:r>
        <w:rPr>
          <w:rFonts w:ascii="Times New Roman" w:hAnsi="Times New Roman"/>
          <w:b/>
          <w:i/>
          <w:caps w:val="false"/>
          <w:smallCaps w:val="false"/>
          <w:sz w:val="20"/>
        </w:rPr>
        <w:t>control</w:t>
      </w:r>
      <w:r>
        <w:rPr>
          <w:rFonts w:ascii="Times New Roman" w:hAnsi="Times New Roman"/>
          <w:caps w:val="false"/>
          <w:smallCaps w:val="false"/>
          <w:sz w:val="20"/>
        </w:rPr>
        <w:t>” (including, with correlative meanings, the terms “</w:t>
      </w:r>
      <w:r>
        <w:rPr>
          <w:rFonts w:ascii="Times New Roman" w:hAnsi="Times New Roman"/>
          <w:b/>
          <w:i/>
          <w:caps w:val="false"/>
          <w:smallCaps w:val="false"/>
          <w:sz w:val="20"/>
        </w:rPr>
        <w:t>controlling</w:t>
      </w:r>
      <w:r>
        <w:rPr>
          <w:rFonts w:ascii="Times New Roman" w:hAnsi="Times New Roman"/>
          <w:caps w:val="false"/>
          <w:smallCaps w:val="false"/>
          <w:sz w:val="20"/>
        </w:rPr>
        <w:t>”, “</w:t>
      </w:r>
      <w:r>
        <w:rPr>
          <w:rFonts w:ascii="Times New Roman" w:hAnsi="Times New Roman"/>
          <w:b/>
          <w:i/>
          <w:caps w:val="false"/>
          <w:smallCaps w:val="false"/>
          <w:sz w:val="20"/>
        </w:rPr>
        <w:t>controlled by</w:t>
      </w:r>
      <w:r>
        <w:rPr>
          <w:rFonts w:ascii="Times New Roman" w:hAnsi="Times New Roman"/>
          <w:caps w:val="false"/>
          <w:smallCaps w:val="false"/>
          <w:sz w:val="20"/>
        </w:rPr>
        <w:t>” and “</w:t>
      </w:r>
      <w:r>
        <w:rPr>
          <w:rFonts w:ascii="Times New Roman" w:hAnsi="Times New Roman"/>
          <w:b/>
          <w:i/>
          <w:caps w:val="false"/>
          <w:smallCaps w:val="false"/>
          <w:sz w:val="20"/>
        </w:rPr>
        <w:t>under common control with</w:t>
      </w:r>
      <w:r>
        <w:rPr>
          <w:rFonts w:ascii="Times New Roman" w:hAnsi="Times New Roman"/>
          <w:caps w:val="false"/>
          <w:smallCaps w:val="false"/>
          <w:sz w:val="20"/>
        </w:rPr>
        <w:t>”), when used with respect to a specified Person, means the possession, directly or indirectly, of the power to direct or cause the direction of the management and policies of such specified Person, whether through the ownership of voting securities, by contract, or otherwise. Notwithstanding the foregoing, the Company, its Subsidiaries and its other Affiliates shall not be considered Affiliates of the Holder or any of its Affiliates (other than the Company, its Subsidiaries and its other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Amended Financing Agreement</w:t>
      </w:r>
      <w:r>
        <w:rPr>
          <w:rFonts w:ascii="Times New Roman" w:hAnsi="Times New Roman"/>
          <w:caps w:val="false"/>
          <w:smallCaps w:val="false"/>
          <w:sz w:val="20"/>
        </w:rPr>
        <w:t>” means the Financing Agreement as amended by the Financing Agreement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Automatic Exercise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beneficially own</w:t>
      </w:r>
      <w:r>
        <w:rPr>
          <w:rFonts w:ascii="Times New Roman" w:hAnsi="Times New Roman"/>
          <w:caps w:val="false"/>
          <w:smallCaps w:val="false"/>
          <w:sz w:val="20"/>
        </w:rPr>
        <w:t xml:space="preserve">” and similar terms have the meaning set forth in Rule 13d-3 under the Securities Exchange Act of 1934, as amended from time to time, and the rules and regulations promulgated pursuant thereto;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Person shall be deemed to beneficially own any securities that such Person has the right to acquire (including assuming exercise of all Warrants, if any, owned by such Person to acquire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Bloomberg</w:t>
      </w:r>
      <w:r>
        <w:rPr>
          <w:rFonts w:ascii="Times New Roman" w:hAnsi="Times New Roman"/>
          <w:caps w:val="false"/>
          <w:smallCaps w:val="false"/>
          <w:sz w:val="20"/>
        </w:rPr>
        <w:t>” means Bloomberg Financial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Board</w:t>
      </w:r>
      <w:r>
        <w:rPr>
          <w:rFonts w:ascii="Times New Roman" w:hAnsi="Times New Roman"/>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Business Day</w:t>
      </w:r>
      <w:r>
        <w:rPr>
          <w:rFonts w:ascii="Times New Roman" w:hAnsi="Times New Roman"/>
          <w:caps w:val="false"/>
          <w:smallCaps w:val="false"/>
          <w:sz w:val="20"/>
        </w:rPr>
        <w:t>” means any day other than a Saturday, Sunday or other day on which commercial banks in the State of New York are authorized or required by law or executive order to close or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Cash Exercise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Common Stock Deemed Outstanding</w:t>
      </w:r>
      <w:r>
        <w:rPr>
          <w:rFonts w:ascii="Times New Roman" w:hAnsi="Times New Roman"/>
          <w:caps w:val="false"/>
          <w:smallCaps w:val="false"/>
          <w:sz w:val="20"/>
        </w:rPr>
        <w:t xml:space="preserve">” means, at any given time, the sum of (i) the number of shares of Common Stock actually outstanding at such time, </w:t>
      </w:r>
      <w:r>
        <w:rPr>
          <w:rFonts w:ascii="Times New Roman" w:hAnsi="Times New Roman"/>
          <w:i/>
          <w:caps w:val="false"/>
          <w:smallCaps w:val="false"/>
          <w:sz w:val="20"/>
        </w:rPr>
        <w:t>plus</w:t>
      </w:r>
      <w:r>
        <w:rPr>
          <w:rFonts w:ascii="Times New Roman" w:hAnsi="Times New Roman"/>
          <w:caps w:val="false"/>
          <w:smallCaps w:val="false"/>
          <w:sz w:val="20"/>
        </w:rPr>
        <w:t xml:space="preserve"> (ii) the number of shares of Common Stock issuable upon exercise of Options actually outstanding at such time, </w:t>
      </w:r>
      <w:r>
        <w:rPr>
          <w:rFonts w:ascii="Times New Roman" w:hAnsi="Times New Roman"/>
          <w:i/>
          <w:caps w:val="false"/>
          <w:smallCaps w:val="false"/>
          <w:sz w:val="20"/>
        </w:rPr>
        <w:t>plus</w:t>
      </w:r>
      <w:r>
        <w:rPr>
          <w:rFonts w:ascii="Times New Roman" w:hAnsi="Times New Roman"/>
          <w:caps w:val="false"/>
          <w:smallCaps w:val="false"/>
          <w:sz w:val="20"/>
        </w:rPr>
        <w:t xml:space="preserve"> (iii) the number of shares of Common Stock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Common Stock Deemed Outstanding at any given time shall not include shares owned or held by or for the account of the Company or any of its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Convertible Securities</w:t>
      </w:r>
      <w:r>
        <w:rPr>
          <w:rFonts w:ascii="Times New Roman" w:hAnsi="Times New Roman"/>
          <w:caps w:val="false"/>
          <w:smallCaps w:val="false"/>
          <w:sz w:val="20"/>
        </w:rPr>
        <w:t>” means any securities (directly or indirectly) convertible into or exchangeable for Common Stock, but excluding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Determination Date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6.8</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DTC</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Excluded Securities</w:t>
      </w:r>
      <w:r>
        <w:rPr>
          <w:rFonts w:ascii="Times New Roman" w:hAnsi="Times New Roman"/>
          <w:caps w:val="false"/>
          <w:smallCaps w:val="false"/>
          <w:sz w:val="20"/>
        </w:rPr>
        <w:t xml:space="preserve">” means any shares of Common Stock issued or issuable, or deemed issued or issuable pursuant to </w:t>
      </w:r>
      <w:r>
        <w:rPr>
          <w:rFonts w:ascii="Times New Roman" w:hAnsi="Times New Roman"/>
          <w:caps w:val="false"/>
          <w:smallCaps w:val="false"/>
          <w:sz w:val="20"/>
          <w:u w:val="single"/>
        </w:rPr>
        <w:t>Section 6.4</w:t>
      </w:r>
      <w:r>
        <w:rPr>
          <w:rFonts w:ascii="Times New Roman" w:hAnsi="Times New Roman"/>
          <w:caps w:val="false"/>
          <w:smallCaps w:val="false"/>
          <w:sz w:val="20"/>
        </w:rPr>
        <w:t xml:space="preserve">: (i) to officers, employees or directors of, or consultants to, the Company or any of its Subsidiaries pursuant to an employee benefit or stock purchase plan or agreement which is in effect on the date of this Warrant or has been approved by a majority of the non-employee members of the Board (including, without limitation, the Amended and Restated 2007 Employee Stock Purchase Plan and the Accuray Incorporated Amended and Restated 2016 Equity Incentive Plan), pursuant to which the Company’s securities may be issued or sold to any employee, officer, consultant or director; (ii) upon exercise of the Warrants; (iii) upon conversion, exercise or exchange of any Options or Convertible Securities (as any adjustment will be made at the time of issuance or amendment of such Options or Convertible Securities pursuant to </w:t>
      </w:r>
      <w:r>
        <w:rPr>
          <w:rFonts w:ascii="Times New Roman" w:hAnsi="Times New Roman"/>
          <w:caps w:val="false"/>
          <w:smallCaps w:val="false"/>
          <w:sz w:val="20"/>
          <w:u w:val="single"/>
        </w:rPr>
        <w:t>Section 6.4</w:t>
      </w:r>
      <w:r>
        <w:rPr>
          <w:rFonts w:ascii="Times New Roman" w:hAnsi="Times New Roman"/>
          <w:caps w:val="false"/>
          <w:smallCaps w:val="false"/>
          <w:sz w:val="20"/>
        </w:rPr>
        <w:t>); and (iv) as consideration in connection with the acquisition of all or a controlling interest in another business (whether by merger, purchase of stock or assets or otherwise) if such issuance is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Exercise by Net Share Settlement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Exercise Price</w:t>
      </w:r>
      <w:r>
        <w:rPr>
          <w:rFonts w:ascii="Times New Roman" w:hAnsi="Times New Roman"/>
          <w:caps w:val="false"/>
          <w:smallCaps w:val="false"/>
          <w:sz w:val="20"/>
        </w:rPr>
        <w:t>” means $0.01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Financing Agreement</w:t>
      </w:r>
      <w:r>
        <w:rPr>
          <w:rFonts w:ascii="Times New Roman" w:hAnsi="Times New Roman"/>
          <w:caps w:val="false"/>
          <w:smallCaps w:val="false"/>
          <w:sz w:val="20"/>
        </w:rPr>
        <w:t>” means that certain Financing Agreement, dated as of June 6, 2025, as amended, restated, amended and restated, modified or otherwise supplemented and in effect from time to time prior to the date hereof, by and among the Company, each other subsidiary of the Company listed as a “Borrower” on the signature pages thereto, each subsidiary of the Company listed as a “Guarantor” on the signature pages thereto, the lenders from time to time party thereto (the “</w:t>
      </w:r>
      <w:r>
        <w:rPr>
          <w:rFonts w:ascii="Times New Roman" w:hAnsi="Times New Roman"/>
          <w:b/>
          <w:i/>
          <w:caps w:val="false"/>
          <w:smallCaps w:val="false"/>
          <w:sz w:val="20"/>
        </w:rPr>
        <w:t>Lenders</w:t>
      </w:r>
      <w:r>
        <w:rPr>
          <w:rFonts w:ascii="Times New Roman" w:hAnsi="Times New Roman"/>
          <w:caps w:val="false"/>
          <w:smallCaps w:val="false"/>
          <w:sz w:val="20"/>
        </w:rPr>
        <w:t>”), TCW Asset Management Company LLC, a Delaware limited liability company (“</w:t>
      </w:r>
      <w:r>
        <w:rPr>
          <w:rFonts w:ascii="Times New Roman" w:hAnsi="Times New Roman"/>
          <w:b/>
          <w:i/>
          <w:caps w:val="false"/>
          <w:smallCaps w:val="false"/>
          <w:sz w:val="20"/>
        </w:rPr>
        <w:t>TCW</w:t>
      </w:r>
      <w:r>
        <w:rPr>
          <w:rFonts w:ascii="Times New Roman" w:hAnsi="Times New Roman"/>
          <w:caps w:val="false"/>
          <w:smallCaps w:val="false"/>
          <w:sz w:val="20"/>
        </w:rPr>
        <w:t>”), as collateral agent and as administrative agent for the Lenders, and Wingspire Capital LLC, as servicing agent, as such agreement is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Financing Agreement Amendment</w:t>
      </w:r>
      <w:r>
        <w:rPr>
          <w:rFonts w:ascii="Times New Roman" w:hAnsi="Times New Roman"/>
          <w:caps w:val="false"/>
          <w:smallCaps w:val="false"/>
          <w:sz w:val="20"/>
        </w:rPr>
        <w:t>” means that certain Amendment No. 3 to Financing Agreement, dated as of [•], 2026, by and among the Company, each subsidiary of the Company listed as a “Guarantor” on the signature pages thereto, the Consenting Lenders (as defined in the Financing Agreement Amendment) party thereto, TCW, as collateral agent and administrative agent for the Lenders, and Wingspire Capital LLC, as servicing agent, pursuant to which, among other things, the parties thereto amended certain financial covenant, liquidity and related provisions of the Financing Agreement and agreed to the issuance of the Warrants as consideration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Independent Financial Expert</w:t>
      </w:r>
      <w:r>
        <w:rPr>
          <w:rFonts w:ascii="Times New Roman" w:hAnsi="Times New Roman"/>
          <w:caps w:val="false"/>
          <w:smallCaps w:val="false"/>
          <w:sz w:val="20"/>
        </w:rPr>
        <w:t>” means a nationally recognized accounting, investment banking or consultant firm, which firm does not have a material financial interest or other material economic relationship with either the Company or any of its Affiliates or the Holder or any of its Affiliates that is, in the good faith judgment of the Board, qualified to perform the task for which it has been engaged.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Liquidity Event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Market Price</w:t>
      </w:r>
      <w:r>
        <w:rPr>
          <w:rFonts w:ascii="Times New Roman" w:hAnsi="Times New Roman"/>
          <w:caps w:val="false"/>
          <w:smallCaps w:val="false"/>
          <w:sz w:val="20"/>
        </w:rPr>
        <w:t>” means, as of any date, (i) so long as the Common Stock continues to be traded on NASDAQ on such date, the last reported sale price of the Common Stock on the Trading Day immediately prior to such date on NASDAQ or (ii) if the Common Stock is not traded on NASDAQ on such date, the closing sale price of the Common Stock on the Trading Day immediately prior to such date as reported in the composite transactions for the principal U.S. national securities exchange or market on which the Common Stock is so listed or traded; or if no closing sale price is reported, the last reported sale price on the principal U.S. national securities exchange on which the Common Stock is so listed or traded on the Trading Day immediately prior to such date; or if the Common Stock is not so listed or traded on a U.S. national securities exchange or market, the last closing bid price of the Common Stock in the over-the-counter market on the electronic bulletin board for such security as reported by Bloomberg; or if that bid price is not available, the market price of the Common Stock on the Trading Day immediately prior to such date as determined by an Independent Financial Expert appointed for such purpose, using one or more valuation methods that the Independent Financial Expert in its best professional judgment determines to be most appropriate, assuming such securities are fully distributed and are to be sold in an arm’s-length transaction and there was no compulsion on the part of any party to such sale to buy or sell and taking into account all relevant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All references herein to the “closing sale price” and “last reported sale price” of the Common Stock on NASDAQ shall be such closing sale price and last reported sale price as reflected on the website of NASDAQ (www.nasdaq.com).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Maximum Voting Power</w:t>
      </w:r>
      <w:r>
        <w:rPr>
          <w:rFonts w:ascii="Times New Roman" w:hAnsi="Times New Roman"/>
          <w:caps w:val="false"/>
          <w:smallCaps w:val="false"/>
          <w:sz w:val="20"/>
        </w:rPr>
        <w:t>” means, at the time of determination, the total number of votes which may be cast by all capital stock on the applicable subject matter subject to the vote of the Common Stock and any other securities that constitute voting stock voting together as a single class and after giving effect to any limitation on voting power set forth in the document governing such voting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Minimum Price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NASDAQ</w:t>
      </w:r>
      <w:r>
        <w:rPr>
          <w:rFonts w:ascii="Times New Roman" w:hAnsi="Times New Roman"/>
          <w:caps w:val="false"/>
          <w:smallCaps w:val="false"/>
          <w:sz w:val="20"/>
        </w:rPr>
        <w:t>” means any national stock exchanges now or hereafter maintained by NASDAQ, including, without limitation, the NASDAQ Global Select Market, the NASDAQ Global Market and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Options</w:t>
      </w:r>
      <w:r>
        <w:rPr>
          <w:rFonts w:ascii="Times New Roman" w:hAnsi="Times New Roman"/>
          <w:caps w:val="false"/>
          <w:smallCaps w:val="false"/>
          <w:sz w:val="20"/>
        </w:rPr>
        <w:t>” means any warrants (including this Warrant) or other rights or options to subscribe for or purchase Common Stock or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Person</w:t>
      </w:r>
      <w:r>
        <w:rPr>
          <w:rFonts w:ascii="Times New Roman" w:hAnsi="Times New Roman"/>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Public Sale</w:t>
      </w:r>
      <w:r>
        <w:rPr>
          <w:rFonts w:ascii="Times New Roman" w:hAnsi="Times New Roman"/>
          <w:caps w:val="false"/>
          <w:smallCaps w:val="false"/>
          <w:sz w:val="20"/>
        </w:rPr>
        <w:t>” means (i) a sale pursuant to an effective registration statement filed under the Securities Act (other than a registration statement on Form S-4, Form S-8 or any successor or similar forms promulgated for similar purposes), (ii) a “brokers’ transaction” (as defined in Rule 144) or (iii) any offering pursuant to a direct listing of equity securities on a public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Rights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Securities Act</w:t>
      </w:r>
      <w:r>
        <w:rPr>
          <w:rFonts w:ascii="Times New Roman" w:hAnsi="Times New Roman"/>
          <w:caps w:val="false"/>
          <w:smallCaps w:val="false"/>
          <w:sz w:val="20"/>
        </w:rPr>
        <w:t>” means the Securities Act of 1933, as amended, or any successor statute,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Shareholder Rights Plan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b/>
          <w:i/>
          <w:caps w:val="false"/>
          <w:smallCaps w:val="false"/>
          <w:sz w:val="20"/>
        </w:rPr>
        <w:t>Trading Day</w:t>
      </w:r>
      <w:r>
        <w:rPr>
          <w:rFonts w:ascii="Times New Roman" w:hAnsi="Times New Roman"/>
          <w:caps w:val="false"/>
          <w:smallCaps w:val="false"/>
          <w:sz w:val="20"/>
        </w:rPr>
        <w:t xml:space="preserve">” means a day on which trading in the Common Stock (or other applicable security) generally occurs on the principal exchange or market on which the Common Stock (or other applicable security) is then listed or traded;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Common Stock (or other applicable security) is not so listed or traded, “Trading Day”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b/>
          <w:i/>
          <w:caps w:val="false"/>
          <w:smallCaps w:val="false"/>
          <w:sz w:val="20"/>
        </w:rPr>
        <w:t>Exercise of Warrants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General Exercise</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1.6</w:t>
      </w:r>
      <w:r>
        <w:rPr>
          <w:rFonts w:ascii="Times New Roman" w:hAnsi="Times New Roman"/>
          <w:caps w:val="false"/>
          <w:smallCaps w:val="false"/>
          <w:sz w:val="20"/>
        </w:rPr>
        <w:t xml:space="preserve">, this Warrant may be exercised in whole or in part by the Holder at any time and from time to time after the Issue Date and on or prior to the close of business on the Expiration Date. Any exercise of this Warrant may be conditioned upon the occurrence of (a) a Public Sale of the Warrant Shares or (b) any event described in </w:t>
      </w:r>
      <w:r>
        <w:rPr>
          <w:rFonts w:ascii="Times New Roman" w:hAnsi="Times New Roman"/>
          <w:caps w:val="false"/>
          <w:smallCaps w:val="false"/>
          <w:sz w:val="20"/>
          <w:u w:val="single"/>
        </w:rPr>
        <w:t>Section 8.3(iii)</w:t>
      </w:r>
      <w:r>
        <w:rPr>
          <w:rFonts w:ascii="Times New Roman" w:hAnsi="Times New Roman"/>
          <w:caps w:val="false"/>
          <w:smallCaps w:val="false"/>
          <w:sz w:val="20"/>
        </w:rPr>
        <w:t xml:space="preserve">. Such conditional exercise shall be deemed revoked if such event or transaction does not occur on the date, or within the dates, specified in the applicable notice provided by or on behalf of the Company pursuant to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(if such a notice was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Exercise for Cash</w:t>
      </w:r>
      <w:r>
        <w:rPr>
          <w:rFonts w:ascii="Times New Roman" w:hAnsi="Times New Roman"/>
          <w:caps w:val="false"/>
          <w:smallCaps w:val="false"/>
          <w:sz w:val="20"/>
        </w:rPr>
        <w:t>. This Warrant may be exercised (a “</w:t>
      </w:r>
      <w:r>
        <w:rPr>
          <w:rFonts w:ascii="Times New Roman" w:hAnsi="Times New Roman"/>
          <w:b/>
          <w:i/>
          <w:caps w:val="false"/>
          <w:smallCaps w:val="false"/>
          <w:sz w:val="20"/>
        </w:rPr>
        <w:t>Cash Exercise</w:t>
      </w:r>
      <w:r>
        <w:rPr>
          <w:rFonts w:ascii="Times New Roman" w:hAnsi="Times New Roman"/>
          <w:caps w:val="false"/>
          <w:smallCaps w:val="false"/>
          <w:sz w:val="20"/>
        </w:rPr>
        <w:t xml:space="preserve">”) by delivering this Warrant to the Company at its principal executive office, or at the office of its stock transfer agent, if any, accompanied by (i) the “Purchase Form” attached as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hereto duly completed and executed on behalf of the Holder and (ii) a payment to the Company in the amount equal to the Exercise Price multiplied by the number of whole Warrant Shares in respect of which this Warrant is then exercised, plus all taxes required to be paid by the Holder, if any, pursuant to </w:t>
      </w:r>
      <w:r>
        <w:rPr>
          <w:rFonts w:ascii="Times New Roman" w:hAnsi="Times New Roman"/>
          <w:caps w:val="false"/>
          <w:smallCaps w:val="false"/>
          <w:sz w:val="20"/>
          <w:u w:val="single"/>
        </w:rPr>
        <w:t>Section 2</w:t>
      </w:r>
      <w:r>
        <w:rPr>
          <w:rFonts w:ascii="Times New Roman" w:hAnsi="Times New Roman"/>
          <w:caps w:val="false"/>
          <w:smallCaps w:val="false"/>
          <w:sz w:val="20"/>
        </w:rPr>
        <w:t>. This Warrant may not be exercised for a fraction of a Warrant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Exercise by Net Share Settlement</w:t>
      </w:r>
      <w:r>
        <w:rPr>
          <w:rFonts w:ascii="Times New Roman" w:hAnsi="Times New Roman"/>
          <w:caps w:val="false"/>
          <w:smallCaps w:val="false"/>
          <w:sz w:val="20"/>
        </w:rPr>
        <w:t>. This Warrant may be exercised, in whole or in part (an “</w:t>
      </w:r>
      <w:r>
        <w:rPr>
          <w:rFonts w:ascii="Times New Roman" w:hAnsi="Times New Roman"/>
          <w:b/>
          <w:i/>
          <w:caps w:val="false"/>
          <w:smallCaps w:val="false"/>
          <w:sz w:val="20"/>
        </w:rPr>
        <w:t>Exercise by Net Share Settlement</w:t>
      </w:r>
      <w:r>
        <w:rPr>
          <w:rFonts w:ascii="Times New Roman" w:hAnsi="Times New Roman"/>
          <w:caps w:val="false"/>
          <w:smallCaps w:val="false"/>
          <w:sz w:val="20"/>
        </w:rPr>
        <w:t xml:space="preserve">”), into the number of Warrant Shares determined in accordance with this </w:t>
      </w:r>
      <w:r>
        <w:rPr>
          <w:rFonts w:ascii="Times New Roman" w:hAnsi="Times New Roman"/>
          <w:caps w:val="false"/>
          <w:smallCaps w:val="false"/>
          <w:sz w:val="20"/>
          <w:u w:val="single"/>
        </w:rPr>
        <w:t>Section 1.3</w:t>
      </w:r>
      <w:r>
        <w:rPr>
          <w:rFonts w:ascii="Times New Roman" w:hAnsi="Times New Roman"/>
          <w:caps w:val="false"/>
          <w:smallCaps w:val="false"/>
          <w:sz w:val="20"/>
        </w:rPr>
        <w:t xml:space="preserve"> by delivering this Warrant to the Company at its principal executive office, or at the office of its stock transfer agent, if any, accompanied by (i) the “Notice of Exercise by Net Share Settlement” attached hereto as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duly completed and executed on behalf of the Holder and (ii) a payment to the Company for any taxes required to be paid by the Holder, if any, pursuant to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(with such date on which both clauses (i) and (ii) have been satisfied, the “</w:t>
      </w:r>
      <w:r>
        <w:rPr>
          <w:rFonts w:ascii="Times New Roman" w:hAnsi="Times New Roman"/>
          <w:b/>
          <w:i/>
          <w:caps w:val="false"/>
          <w:smallCaps w:val="false"/>
          <w:sz w:val="20"/>
        </w:rPr>
        <w:t>Exercise Date</w:t>
      </w:r>
      <w:r>
        <w:rPr>
          <w:rFonts w:ascii="Times New Roman" w:hAnsi="Times New Roman"/>
          <w:caps w:val="false"/>
          <w:smallCaps w:val="false"/>
          <w:sz w:val="20"/>
        </w:rPr>
        <w:t xml:space="preserve">”). In the event of an Exercise by Net Share Settlement, the Company shall issue to the Holder a number of Warrant Shares (subject to </w:t>
      </w:r>
      <w:r>
        <w:rPr>
          <w:rFonts w:ascii="Times New Roman" w:hAnsi="Times New Roman"/>
          <w:caps w:val="false"/>
          <w:smallCaps w:val="false"/>
          <w:sz w:val="20"/>
          <w:u w:val="single"/>
        </w:rPr>
        <w:t>Section 5</w:t>
      </w:r>
      <w:r>
        <w:rPr>
          <w:rFonts w:ascii="Times New Roman" w:hAnsi="Times New Roman"/>
          <w:caps w:val="false"/>
          <w:smallCaps w:val="false"/>
          <w:sz w:val="20"/>
        </w:rPr>
        <w:t>) computed using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X = </w:t>
      </w:r>
      <w:r>
        <w:rPr>
          <w:rFonts w:ascii="Times New Roman" w:hAnsi="Times New Roman"/>
          <w:caps w:val="false"/>
          <w:smallCaps w:val="false"/>
          <w:sz w:val="20"/>
          <w:u w:val="single"/>
        </w:rPr>
        <w:t>Y (A - B)</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X = the net number of Warrant Shares to be issued to the Holder pursuant to the Exercise by Net Share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Y = the gross number of Warrant Shares in respect of which the Exercise by Net Share Settlement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 = the Market Price as of the Exercise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B =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caps w:val="false"/>
          <w:smallCaps w:val="false"/>
          <w:sz w:val="20"/>
          <w:u w:val="single"/>
        </w:rPr>
        <w:t>Issuance of Certificate(s); Authorization</w:t>
      </w:r>
      <w:r>
        <w:rPr>
          <w:rFonts w:ascii="Times New Roman" w:hAnsi="Times New Roman"/>
          <w:caps w:val="false"/>
          <w:smallCaps w:val="false"/>
          <w:sz w:val="20"/>
        </w:rPr>
        <w:t xml:space="preserve">. Upon surrender of this Warrant and full compliance with each of the other requirements in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in the case of a Cash Exercise, and </w:t>
      </w:r>
      <w:r>
        <w:rPr>
          <w:rFonts w:ascii="Times New Roman" w:hAnsi="Times New Roman"/>
          <w:caps w:val="false"/>
          <w:smallCaps w:val="false"/>
          <w:sz w:val="20"/>
          <w:u w:val="single"/>
        </w:rPr>
        <w:t>Section 1.3</w:t>
      </w:r>
      <w:r>
        <w:rPr>
          <w:rFonts w:ascii="Times New Roman" w:hAnsi="Times New Roman"/>
          <w:caps w:val="false"/>
          <w:smallCaps w:val="false"/>
          <w:sz w:val="20"/>
        </w:rPr>
        <w:t>, in the case of an Exercise by Net Share Settlement, the Company shall, promptly, and in any event, within two (2) Trading Days, either (i) issue and cause to be delivered a certificate or certificates to the Holder, or upon the written request of the Holder, in and to such name or names as the Holder may designate, a certificate or certificates for the number of Warrant Shares issuable upon the Cash Exercise or the Exercise by Net Share Settlement, as the case may be, or (ii) instruct its transfer agent to register in book entry form and, if such transfer agent is participating in The Depository Trust Company (“</w:t>
      </w:r>
      <w:r>
        <w:rPr>
          <w:rFonts w:ascii="Times New Roman" w:hAnsi="Times New Roman"/>
          <w:b/>
          <w:i/>
          <w:caps w:val="false"/>
          <w:smallCaps w:val="false"/>
          <w:sz w:val="20"/>
        </w:rPr>
        <w:t>DTC</w:t>
      </w:r>
      <w:r>
        <w:rPr>
          <w:rFonts w:ascii="Times New Roman" w:hAnsi="Times New Roman"/>
          <w:caps w:val="false"/>
          <w:smallCaps w:val="false"/>
          <w:sz w:val="20"/>
        </w:rPr>
        <w:t xml:space="preserve">”) Fast Automated Securities Transfer Program, credit such aggregate number of Warrant Shares issuable upon the Cash Exercise or the Exercise by Net Share Settlement, as the case may be, to the Holder’s (or, upon the written request of the Holder, to its designee’s or designees’) balance account(s) with DTC through its Deposit / Withdrawal At Custodian System. Such certificate or certificates (or book entry shares) shall not be deemed to have been issued, and any Person so designated to be named therein shall not be deemed to have become or have any rights of a holder of record of such Warrant Shares, until all requirements set forth in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in the case of a Cash Exercise, and </w:t>
      </w:r>
      <w:r>
        <w:rPr>
          <w:rFonts w:ascii="Times New Roman" w:hAnsi="Times New Roman"/>
          <w:caps w:val="false"/>
          <w:smallCaps w:val="false"/>
          <w:sz w:val="20"/>
          <w:u w:val="single"/>
        </w:rPr>
        <w:t>Section 1.3</w:t>
      </w:r>
      <w:r>
        <w:rPr>
          <w:rFonts w:ascii="Times New Roman" w:hAnsi="Times New Roman"/>
          <w:caps w:val="false"/>
          <w:smallCaps w:val="false"/>
          <w:sz w:val="20"/>
        </w:rPr>
        <w:t xml:space="preserve">, in the case of an Exercise by Net Share Settlement, have been fully met by the Holder. The certificate(s) (or book entry shares) representing the Warrant Shares acquired upon the exercise of this Warrant shall bear the restrictive legend substantially in the form set forth on </w:t>
      </w:r>
      <w:r>
        <w:rPr>
          <w:rFonts w:ascii="Times New Roman" w:hAnsi="Times New Roman"/>
          <w:caps w:val="false"/>
          <w:smallCaps w:val="false"/>
          <w:sz w:val="20"/>
          <w:u w:val="single"/>
        </w:rPr>
        <w:t>Exhibit C</w:t>
      </w:r>
      <w:r>
        <w:rPr>
          <w:rFonts w:ascii="Times New Roman" w:hAnsi="Times New Roman"/>
          <w:caps w:val="false"/>
          <w:smallCaps w:val="false"/>
          <w:sz w:val="20"/>
        </w:rPr>
        <w:t xml:space="preserve"> hereto;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upon the reasonable request of the Holder, at any time, and from time to time, when such legend is no longer required under the Securities Act or applicable state laws, the Company shall promptly remove such legend from any certificate representing the Warrant Shares (or issue one or more new certificates representing such Warrant Shares, which certificate(s) shall not contain a legend). The Company hereby represents and warrants that any shares of Common Stock issued upon the exercise of this Warrant in accordance with the provisions of </w:t>
      </w:r>
      <w:r>
        <w:rPr>
          <w:rFonts w:ascii="Times New Roman" w:hAnsi="Times New Roman"/>
          <w:caps w:val="false"/>
          <w:smallCaps w:val="false"/>
          <w:sz w:val="20"/>
          <w:u w:val="single"/>
        </w:rPr>
        <w:t>Sections 1.2</w:t>
      </w:r>
      <w:r>
        <w:rPr>
          <w:rFonts w:ascii="Times New Roman" w:hAnsi="Times New Roman"/>
          <w:caps w:val="false"/>
          <w:smallCaps w:val="false"/>
          <w:sz w:val="20"/>
        </w:rPr>
        <w:t xml:space="preserve"> and/or </w:t>
      </w:r>
      <w:r>
        <w:rPr>
          <w:rFonts w:ascii="Times New Roman" w:hAnsi="Times New Roman"/>
          <w:caps w:val="false"/>
          <w:smallCaps w:val="false"/>
          <w:sz w:val="20"/>
          <w:u w:val="single"/>
        </w:rPr>
        <w:t>1.3</w:t>
      </w:r>
      <w:r>
        <w:rPr>
          <w:rFonts w:ascii="Times New Roman" w:hAnsi="Times New Roman"/>
          <w:caps w:val="false"/>
          <w:smallCaps w:val="false"/>
          <w:sz w:val="20"/>
        </w:rPr>
        <w:t xml:space="preserve"> will be duly and validly authorized and issued, fully paid and nonassessable and free from all taxes, liens and charges (other than taxes, liens or charges created by the Holder or taxes in respect of any transfer occurring contemporaneously therewith). The Company agrees that the Warrant Shares so issued will be deemed to have been issued to the Holder (and the Holder shall be the beneficial owner thereof)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caps w:val="false"/>
          <w:smallCaps w:val="false"/>
          <w:sz w:val="20"/>
          <w:u w:val="single"/>
        </w:rPr>
        <w:t>Full or Partial Exercise</w:t>
      </w:r>
      <w:r>
        <w:rPr>
          <w:rFonts w:ascii="Times New Roman" w:hAnsi="Times New Roman"/>
          <w:caps w:val="false"/>
          <w:smallCaps w:val="false"/>
          <w:sz w:val="20"/>
        </w:rPr>
        <w:t>. This Warrant shall be exercisable, at the election of the Holder, either in full or in part and, in the event that this Warrant is exercised in respect of fewer than all of the Warrant Shares issuable on such exercise at any time prior to the Expiration Date, the Company shall promptly issue a new certificate evidencing the remaining Warrant or Warrants, in a form substantially identical hereto, in the name of the Holder, and deliver to the Holder or to another Person that the Holder has designated for delivery as soon as practicable, and in any event not exceeding three (3) Business Days from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caps w:val="false"/>
          <w:smallCaps w:val="false"/>
          <w:sz w:val="20"/>
          <w:u w:val="single"/>
        </w:rPr>
        <w:t>Restrictions on Exercise</w:t>
      </w:r>
      <w:r>
        <w:rPr>
          <w:rFonts w:ascii="Times New Roman" w:hAnsi="Times New Roman"/>
          <w:caps w:val="false"/>
          <w:smallCaps w:val="false"/>
          <w:sz w:val="20"/>
        </w:rPr>
        <w:t>. The Holder will not be permitted to exercise the right to purchase Warrant Shares if and to the extent, as a result of such exercise, either (i) such Holder’s, together with such Holder’s Affiliates’, aggregate voting power on any matter that could be voted on by holders of the Common Stock would exceed [4.99%/9.99%/19.9%] of the Maximum Voting Power or (ii) such Holder, together with such Holder’s Affiliates, would beneficially own more than [4.99%/9.99%/19.9%] of the then outstanding Common Stock (the lesser of (i) or (ii) the “</w:t>
      </w:r>
      <w:r>
        <w:rPr>
          <w:rFonts w:ascii="Times New Roman" w:hAnsi="Times New Roman"/>
          <w:b/>
          <w:i/>
          <w:caps w:val="false"/>
          <w:smallCaps w:val="false"/>
          <w:sz w:val="20"/>
        </w:rPr>
        <w:t>Maximum Percentage</w:t>
      </w:r>
      <w:r>
        <w:rPr>
          <w:rFonts w:ascii="Times New Roman" w:hAnsi="Times New Roman"/>
          <w:caps w:val="false"/>
          <w:smallCaps w:val="false"/>
          <w:sz w:val="20"/>
        </w:rPr>
        <w:t>”); provided, however, that such exercise restriction shall not apply in connection with and subject to completion of (A) a Public Sale of the Warrant Shares to be issued upon such exercise, (B) a bona fide third party tender offer for the Common Stock issuable thereupon, or (C) a Liquidity Event if, in the case of each of clauses (A), (B) and (C), such Holder and its Affiliates will not beneficially own in excess of 19.9% of the then outstanding Common Stock following the consummation of such event. For purposes of the foregoing sentence, the number of shares of Common Stock beneficially owned by the Holder and its Affiliates shall include the number of Warrant Shares to be issued with respect to which a Notice of Exercise by Net Share Settlement or Purchase Form has been given and the shares of Common Stock to be issued in connection with the exercise of any other outstanding warrants beneficially owned by such Holder or any of its Affiliates. Upon the written request of the Holder, the Company shall within two (2) Trading Days confirm in writing to the Holder the number of shares of Common Stock then outstanding. The Holder may from time to time increase or decrease the Maximum Percentage to any other percentage not in excess of 19.99% specified in such notice; provided that such Holder shall provide written notice delivered to the Company at least sixty-one (61) days prior to the date the increase in the Maximum Percentage shall be effective and the increase in Maximum Percentage shall not negatively affect any partial exercise effected prior to such change; and provided further that, following receipt of the Stockholder Approval such Holder may increase the Maximum Percentage to a number in excess of 19.99%. The restrictions contained in this paragraph shall automatically terminate upon the consummation of a Liquidity Event with respect to the surviving Person (if other than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1.6.1    The Company covenants that it will not take any action that would result in an adjustment to the Exercise Price or number of Warrant Shares that would require such shareholder approval pursuant to Nasdaq Rule 5635 (or successor rule) without first obtaining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caps w:val="false"/>
          <w:smallCaps w:val="false"/>
          <w:sz w:val="20"/>
          <w:u w:val="single"/>
        </w:rPr>
        <w:t>Automatic Cashless Exercise upon Expiration</w:t>
      </w:r>
      <w:r>
        <w:rPr>
          <w:rFonts w:ascii="Times New Roman" w:hAnsi="Times New Roman"/>
          <w:caps w:val="false"/>
          <w:smallCaps w:val="false"/>
          <w:sz w:val="20"/>
        </w:rPr>
        <w:t xml:space="preserve">. In the event that, upon the Expiration Date, the Market Price is greater than the Exercise Price in effect on such date, then this Warrant shall automatically be deemed on and as of the Expiration Date to be exercised pursuant to </w:t>
      </w:r>
      <w:r>
        <w:rPr>
          <w:rFonts w:ascii="Times New Roman" w:hAnsi="Times New Roman"/>
          <w:caps w:val="false"/>
          <w:smallCaps w:val="false"/>
          <w:sz w:val="20"/>
          <w:u w:val="single"/>
        </w:rPr>
        <w:t>Section 1.3</w:t>
      </w:r>
      <w:r>
        <w:rPr>
          <w:rFonts w:ascii="Times New Roman" w:hAnsi="Times New Roman"/>
          <w:caps w:val="false"/>
          <w:smallCaps w:val="false"/>
          <w:sz w:val="20"/>
        </w:rPr>
        <w:t xml:space="preserve"> above as to all Warrant Shares for which it shall not previously have been exercised (the “</w:t>
      </w:r>
      <w:r>
        <w:rPr>
          <w:rFonts w:ascii="Times New Roman" w:hAnsi="Times New Roman"/>
          <w:b/>
          <w:i/>
          <w:caps w:val="false"/>
          <w:smallCaps w:val="false"/>
          <w:sz w:val="20"/>
        </w:rPr>
        <w:t>Automatic Exercise</w:t>
      </w:r>
      <w:r>
        <w:rPr>
          <w:rFonts w:ascii="Times New Roman" w:hAnsi="Times New Roman"/>
          <w:caps w:val="false"/>
          <w:smallCaps w:val="false"/>
          <w:sz w:val="20"/>
        </w:rPr>
        <w:t xml:space="preserve">”), and the Company shall take such other actions as required pursuant to </w:t>
      </w:r>
      <w:r>
        <w:rPr>
          <w:rFonts w:ascii="Times New Roman" w:hAnsi="Times New Roman"/>
          <w:caps w:val="false"/>
          <w:smallCaps w:val="false"/>
          <w:sz w:val="20"/>
          <w:u w:val="single"/>
        </w:rPr>
        <w:t>Section 1.4</w:t>
      </w:r>
      <w:r>
        <w:rPr>
          <w:rFonts w:ascii="Times New Roman" w:hAnsi="Times New Roman"/>
          <w:caps w:val="false"/>
          <w:smallCaps w:val="false"/>
          <w:sz w:val="20"/>
        </w:rPr>
        <w:t xml:space="preserve"> in connection with such Automatic Exercise. Notwithstanding the foregoing, any Automatic Exercise shall be subject to the provisions and limitations set forth in </w:t>
      </w:r>
      <w:r>
        <w:rPr>
          <w:rFonts w:ascii="Times New Roman" w:hAnsi="Times New Roman"/>
          <w:caps w:val="false"/>
          <w:smallCaps w:val="false"/>
          <w:sz w:val="20"/>
          <w:u w:val="single"/>
        </w:rPr>
        <w:t>Section 1.6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b/>
          <w:i/>
          <w:caps w:val="false"/>
          <w:smallCaps w:val="false"/>
          <w:sz w:val="20"/>
        </w:rPr>
        <w:t>Payment of Taxes</w:t>
      </w:r>
      <w:r>
        <w:rPr>
          <w:rFonts w:ascii="Times New Roman" w:hAnsi="Times New Roman"/>
          <w:caps w:val="false"/>
          <w:smallCaps w:val="false"/>
          <w:sz w:val="20"/>
        </w:rPr>
        <w:t xml:space="preserve">. Issuance of certificates for Warrant Shares shall be made without charge to the Holder for any issue or transfer tax or other incidental expense in respect of the issuance of such certificate, all of which taxes (other than any such taxes in respect of any transfer occurring contemporaneously therewith) and expenses shall be paid by the Company, and such certificates shall be issued in the name of the Holder or in such name or names as may be directed by the Holder;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in the event certificates for Warrant Shares are to be issued in a name other than the name of the Holder, this Warrant when surrendered for exercise shall be accompanied by a properly executed assignment form in the form attached as </w:t>
      </w:r>
      <w:r>
        <w:rPr>
          <w:rFonts w:ascii="Times New Roman" w:hAnsi="Times New Roman"/>
          <w:caps w:val="false"/>
          <w:smallCaps w:val="false"/>
          <w:sz w:val="20"/>
          <w:u w:val="single"/>
        </w:rPr>
        <w:t>Exhibit D</w:t>
      </w:r>
      <w:r>
        <w:rPr>
          <w:rFonts w:ascii="Times New Roman" w:hAnsi="Times New Roman"/>
          <w:caps w:val="false"/>
          <w:smallCaps w:val="false"/>
          <w:sz w:val="20"/>
        </w:rPr>
        <w:t xml:space="preserve"> hereto, and the Company may require, as a condition thereto, the payment of a sum sufficient to reimburse it for any transfer tax incidental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b/>
          <w:i/>
          <w:caps w:val="false"/>
          <w:smallCaps w:val="false"/>
          <w:sz w:val="20"/>
        </w:rPr>
        <w:t>Mutilated, Missing or Lost Warrant</w:t>
      </w:r>
      <w:r>
        <w:rPr>
          <w:rFonts w:ascii="Times New Roman" w:hAnsi="Times New Roman"/>
          <w:caps w:val="false"/>
          <w:smallCaps w:val="false"/>
          <w:sz w:val="20"/>
        </w:rPr>
        <w:t xml:space="preserve">. In the event that this Warrant shall be mutilated, lost, stolen or destroyed, the Company shall issue and countersign, in exchange and substitution for and upon cancellation of the mutilated Warrant, or in lieu of and substitution for its loss, theft or destruction, a new Warrant with identical terms, representing an equivalent number of Warrant Shares and dated the same date as this Warrant that was mutilated, lost, stolen or destroyed, but only upon receipt of evidence and indemnity or other security reasonably satisfactory to the Company of the loss, theft or destruction of this Warrant;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in the event a new Warrant is issued pursuant to this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in a name other than the name of the Holder on the date the Warrant was mutilated, lost, stolen or destroyed, the Holder shall present to the Company, in addition to the requirements of this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a properly executed assignment in the form attached as </w:t>
      </w:r>
      <w:r>
        <w:rPr>
          <w:rFonts w:ascii="Times New Roman" w:hAnsi="Times New Roman"/>
          <w:caps w:val="false"/>
          <w:smallCaps w:val="false"/>
          <w:sz w:val="20"/>
          <w:u w:val="single"/>
        </w:rPr>
        <w:t>Exhibit D</w:t>
      </w:r>
      <w:r>
        <w:rPr>
          <w:rFonts w:ascii="Times New Roman" w:hAnsi="Times New Roman"/>
          <w:caps w:val="false"/>
          <w:smallCaps w:val="false"/>
          <w:sz w:val="20"/>
        </w:rPr>
        <w:t xml:space="preserve"> hereto, and the Company may require, as a condition thereto, the payment of a sum sufficient to reimburse it for any transfer tax incidental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b/>
          <w:i/>
          <w:caps w:val="false"/>
          <w:smallCaps w:val="false"/>
          <w:sz w:val="20"/>
        </w:rPr>
        <w:t>Reservation of Warrant Shares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4.1    At all times prior to the Expiration Date, the Company shall at all times reserve and keep available out of its authorized but unissued shares of Common Stock, solely for the purpose of issuance upon the exercise of this Warrant, a number of shares of Common Stock equal to the aggregate Warrant Shares issuable upon the exercise of this Warrant. The Company shall take all such actions as may be necessary to assure that all such shares of Common Stock may be so issued without violating the Company’s governing documents, any agreements to which the Company is a party on the date hereof, any requirements of any national securities exchange upon which shares of Common Stock may be listed or any applicable laws. The Company shall not take any action which would cause the number of authorized but unissued shares of Common Stock to be less than the number of such shares required to be reserved hereunder for issuance upon exercise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4.2    The Company covenants that it will take such actions as may be necessary or appropriate in order that all Warrant Shares issued upon exercise of this Warrant will, upon issuance in accordance with the terms of this Warrant, be fully paid and non-assessable, and free from any and all (i) security interests created by or imposed upon the Company and (ii) taxes, liens and charges with respect to the issuance thereof. If at any time prior to the Expiration Date the number and kind of authorized but unissued shares of the Company’s Common Stock shall not be sufficient to permit exercise in full of this Warrant, the Company will as promptly as reasonably practicable take such corporate action as may, in the opinion of its counsel, be reasonably necessary to increase its authorized but unissued shares to such number of shares as shall be sufficient for such purposes. Without limiting the generality of the foregoing, the Company will not increase the stated or par value per share, if any, of the Common Stock above the Exercise Price in effect immediately prior to such increase in stated or par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4.3    The Company represents and warrants to the Holder that the issuance of this Warrant and the issuance of shares of Common Stock upon exercise thereof in accordance with the terms hereof will not constitute a breach of, or a default under, any other material agreements to which the Company is a party on the date hereof and that this Warrant constitutes a legal, valid and binding obligation of the Company enforceable against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b/>
          <w:i/>
          <w:caps w:val="false"/>
          <w:smallCaps w:val="false"/>
          <w:sz w:val="20"/>
        </w:rPr>
        <w:t>Fractional Shares</w:t>
      </w:r>
      <w:r>
        <w:rPr>
          <w:rFonts w:ascii="Times New Roman" w:hAnsi="Times New Roman"/>
          <w:caps w:val="false"/>
          <w:smallCaps w:val="false"/>
          <w:sz w:val="20"/>
        </w:rPr>
        <w:t xml:space="preserve">. No fractional Warrant Shares, or scrip for any such fractional Warrant Shares, shall be issued upon the exercise of this Warrant. If any fraction of a share of Common Stock would, except for the provisions of this </w:t>
      </w:r>
      <w:r>
        <w:rPr>
          <w:rFonts w:ascii="Times New Roman" w:hAnsi="Times New Roman"/>
          <w:caps w:val="false"/>
          <w:smallCaps w:val="false"/>
          <w:sz w:val="20"/>
          <w:u w:val="single"/>
        </w:rPr>
        <w:t>Section 5</w:t>
      </w:r>
      <w:r>
        <w:rPr>
          <w:rFonts w:ascii="Times New Roman" w:hAnsi="Times New Roman"/>
          <w:caps w:val="false"/>
          <w:smallCaps w:val="false"/>
          <w:sz w:val="20"/>
        </w:rPr>
        <w:t>, be issuable on the exercise of any Warrant, the Holder shall be entitled to receive a cash payment equal to the Market Price of the Common Stock less the Exercise Price for such fractional Warrant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b/>
          <w:i/>
          <w:caps w:val="false"/>
          <w:smallCaps w:val="false"/>
          <w:sz w:val="20"/>
        </w:rPr>
        <w:t>Anti-dilution Adjustments and Other Rights</w:t>
      </w:r>
      <w:r>
        <w:rPr>
          <w:rFonts w:ascii="Times New Roman" w:hAnsi="Times New Roman"/>
          <w:caps w:val="false"/>
          <w:smallCaps w:val="false"/>
          <w:sz w:val="20"/>
        </w:rPr>
        <w:t>. The number of Warrant Shares issuable upon exercise of this Warrant shall be subject to adjustment from time to time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6.1    </w:t>
      </w:r>
      <w:r>
        <w:rPr>
          <w:rFonts w:ascii="Times New Roman" w:hAnsi="Times New Roman"/>
          <w:caps w:val="false"/>
          <w:smallCaps w:val="false"/>
          <w:sz w:val="20"/>
          <w:u w:val="single"/>
        </w:rPr>
        <w:t>Changes to Common Stock</w:t>
      </w:r>
      <w:r>
        <w:rPr>
          <w:rFonts w:ascii="Times New Roman" w:hAnsi="Times New Roman"/>
          <w:caps w:val="false"/>
          <w:smallCaps w:val="false"/>
          <w:sz w:val="20"/>
        </w:rPr>
        <w:t>. If the Company (i) declares, orders, pays or makes a dividend or a distribution on its Common Stock payable in shares of Common Stock (which, for the avoidance of doubt, shall not include any shares of Common Stock issued upon exercise of the Warrants), (ii) splits, subdivides or reclassifies its outstanding Common Stock into a larger number of shares of Common Stock, (iii) combines or reclassifies its outstanding shares of Common Stock into a smaller number of shares of Common Stock or (iv) increases or decreases the number of Common Stock outstanding by reclassification of its shares of Common Stock, then in each case, the number of Warrant Shares for which this Warrant is exercisable will be adjusted based on the following formula: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NS’ = NS</w:t>
      </w:r>
      <w:r>
        <w:rPr>
          <w:rFonts w:ascii="Times New Roman" w:hAnsi="Times New Roman"/>
          <w:caps w:val="false"/>
          <w:smallCaps w:val="false"/>
          <w:position w:val="-2"/>
          <w:sz w:val="16"/>
          <w:sz w:val="20"/>
        </w:rPr>
        <w:t>0</w:t>
      </w:r>
      <w:r>
        <w:rPr>
          <w:rFonts w:ascii="Times New Roman" w:hAnsi="Times New Roman"/>
          <w:caps w:val="false"/>
          <w:smallCaps w:val="false"/>
          <w:sz w:val="20"/>
        </w:rPr>
        <w:t xml:space="preserve"> x </w:t>
      </w:r>
      <w:r>
        <w:rPr>
          <w:rFonts w:ascii="Times New Roman" w:hAnsi="Times New Roman"/>
          <w:caps w:val="false"/>
          <w:smallCaps w:val="false"/>
          <w:sz w:val="20"/>
          <w:u w:val="single"/>
        </w:rPr>
        <w:t>OS’</w:t>
      </w:r>
    </w:p>
    <w:p>
      <w:pPr>
        <w:pStyle w:val="TextBody"/>
        <w:bidi w:val="0"/>
        <w:spacing w:before="0" w:after="0"/>
        <w:ind w:left="1080" w:right="0" w:hanging="0"/>
        <w:jc w:val="center"/>
        <w:rPr>
          <w:rFonts w:ascii="Times New Roman" w:hAnsi="Times New Roman"/>
          <w:caps w:val="false"/>
          <w:smallCaps w:val="false"/>
          <w:sz w:val="20"/>
        </w:rPr>
      </w:pPr>
      <w:r>
        <w:rPr>
          <w:rFonts w:ascii="Times New Roman" w:hAnsi="Times New Roman"/>
          <w:caps w:val="false"/>
          <w:smallCaps w:val="false"/>
          <w:sz w:val="20"/>
        </w:rPr>
        <w:t>OS</w:t>
      </w:r>
      <w:r>
        <w:rPr>
          <w:rFonts w:ascii="Times New Roman" w:hAnsi="Times New Roman"/>
          <w:caps w:val="false"/>
          <w:smallCaps w:val="false"/>
          <w:position w:val="-2"/>
          <w:sz w:val="16"/>
          <w:sz w:val="20"/>
        </w:rPr>
        <w:t>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NS’         =         the number of Warrant Shares for which this Warrant is exercisable in effect immediately after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NS</w:t>
      </w:r>
      <w:r>
        <w:rPr>
          <w:rFonts w:ascii="Times New Roman" w:hAnsi="Times New Roman"/>
          <w:caps w:val="false"/>
          <w:smallCaps w:val="false"/>
          <w:position w:val="-2"/>
          <w:sz w:val="16"/>
          <w:sz w:val="20"/>
        </w:rPr>
        <w:t>0</w:t>
      </w:r>
      <w:r>
        <w:rPr>
          <w:rFonts w:ascii="Times New Roman" w:hAnsi="Times New Roman"/>
          <w:caps w:val="false"/>
          <w:smallCaps w:val="false"/>
          <w:sz w:val="20"/>
        </w:rPr>
        <w:t>         =         the number of Warrant Shares for which this Warrant is exercisable in effect immediately prior to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OS’         =         the number of shares of Common Stock outstanding immediately after such event;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OS</w:t>
      </w:r>
      <w:r>
        <w:rPr>
          <w:rFonts w:ascii="Times New Roman" w:hAnsi="Times New Roman"/>
          <w:caps w:val="false"/>
          <w:smallCaps w:val="false"/>
          <w:position w:val="-2"/>
          <w:sz w:val="16"/>
          <w:sz w:val="20"/>
        </w:rPr>
        <w:t>0</w:t>
      </w:r>
      <w:r>
        <w:rPr>
          <w:rFonts w:ascii="Times New Roman" w:hAnsi="Times New Roman"/>
          <w:caps w:val="false"/>
          <w:smallCaps w:val="false"/>
          <w:sz w:val="20"/>
        </w:rPr>
        <w:t>         =         the number of shares of Common Stock outstanding immediately prior to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Such adjustment shall become effective immediately after 9:00 a.m., New York City time, on the Business Day following the date fixed for such determination. The Company will not pay any dividend or make any distribution on shares of Common Stock held in treasury by the Company. If any dividend or distribution of the type described in this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is declared but not so paid or made, the number of Warrant Shares for which this Warrant is exercisable shall again be adjusted to be the number of Warrant Shares for which this Warrant would be exercisable if such dividend or distribution had not been declared.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6.2    </w:t>
      </w:r>
      <w:r>
        <w:rPr>
          <w:rFonts w:ascii="Times New Roman" w:hAnsi="Times New Roman"/>
          <w:caps w:val="false"/>
          <w:smallCaps w:val="false"/>
          <w:sz w:val="20"/>
          <w:u w:val="single"/>
        </w:rPr>
        <w:t>Options</w:t>
      </w:r>
      <w:r>
        <w:rPr>
          <w:rFonts w:ascii="Times New Roman" w:hAnsi="Times New Roman"/>
          <w:caps w:val="false"/>
          <w:smallCaps w:val="false"/>
          <w:sz w:val="20"/>
        </w:rPr>
        <w:t xml:space="preserve">. If the Company issues to all or substantially all holders of its Common Stock any Options entitling them to subscribe for or purchase shares of Common Stock, subject to the last paragraph of this </w:t>
      </w:r>
      <w:r>
        <w:rPr>
          <w:rFonts w:ascii="Times New Roman" w:hAnsi="Times New Roman"/>
          <w:caps w:val="false"/>
          <w:smallCaps w:val="false"/>
          <w:sz w:val="20"/>
          <w:u w:val="single"/>
        </w:rPr>
        <w:t>Section 6.2</w:t>
      </w:r>
      <w:r>
        <w:rPr>
          <w:rFonts w:ascii="Times New Roman" w:hAnsi="Times New Roman"/>
          <w:caps w:val="false"/>
          <w:smallCaps w:val="false"/>
          <w:sz w:val="20"/>
        </w:rPr>
        <w:t>, at a price per share of Common Stock less than the Market Price per share of Common Stock on the Business Day immediately preceding the date of announcement of such issuance, the number of Warrant Shares for which this Warrant is exercisable will be adjusted based on the following formula: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NS’ = NS</w:t>
      </w:r>
      <w:r>
        <w:rPr>
          <w:rFonts w:ascii="Times New Roman" w:hAnsi="Times New Roman"/>
          <w:caps w:val="false"/>
          <w:smallCaps w:val="false"/>
          <w:position w:val="-2"/>
          <w:sz w:val="16"/>
          <w:sz w:val="20"/>
        </w:rPr>
        <w:t>0</w:t>
      </w:r>
      <w:r>
        <w:rPr>
          <w:rFonts w:ascii="Times New Roman" w:hAnsi="Times New Roman"/>
          <w:caps w:val="false"/>
          <w:smallCaps w:val="false"/>
          <w:sz w:val="20"/>
        </w:rPr>
        <w:t xml:space="preserve"> x         </w:t>
      </w:r>
      <w:r>
        <w:rPr>
          <w:rFonts w:ascii="Times New Roman" w:hAnsi="Times New Roman"/>
          <w:caps w:val="false"/>
          <w:smallCaps w:val="false"/>
          <w:sz w:val="20"/>
          <w:u w:val="single"/>
        </w:rPr>
        <w:t>OS</w:t>
      </w:r>
      <w:r>
        <w:rPr>
          <w:rFonts w:ascii="Times New Roman" w:hAnsi="Times New Roman"/>
          <w:caps w:val="false"/>
          <w:smallCaps w:val="false"/>
          <w:position w:val="-2"/>
          <w:sz w:val="16"/>
          <w:sz w:val="20"/>
          <w:u w:val="single"/>
        </w:rPr>
        <w:t>0</w:t>
      </w:r>
      <w:r>
        <w:rPr>
          <w:rFonts w:ascii="Times New Roman" w:hAnsi="Times New Roman"/>
          <w:caps w:val="false"/>
          <w:smallCaps w:val="false"/>
          <w:sz w:val="20"/>
          <w:u w:val="single"/>
        </w:rPr>
        <w:t>+X</w:t>
      </w:r>
    </w:p>
    <w:p>
      <w:pPr>
        <w:pStyle w:val="TextBody"/>
        <w:bidi w:val="0"/>
        <w:spacing w:before="0" w:after="0"/>
        <w:ind w:left="1440" w:right="0" w:hanging="0"/>
        <w:jc w:val="center"/>
        <w:rPr>
          <w:rFonts w:ascii="Times New Roman" w:hAnsi="Times New Roman"/>
          <w:caps w:val="false"/>
          <w:smallCaps w:val="false"/>
          <w:sz w:val="20"/>
        </w:rPr>
      </w:pPr>
      <w:r>
        <w:rPr>
          <w:rFonts w:ascii="Times New Roman" w:hAnsi="Times New Roman"/>
          <w:caps w:val="false"/>
          <w:smallCaps w:val="false"/>
          <w:sz w:val="20"/>
        </w:rPr>
        <w:t>OS</w:t>
      </w:r>
      <w:r>
        <w:rPr>
          <w:rFonts w:ascii="Times New Roman" w:hAnsi="Times New Roman"/>
          <w:caps w:val="false"/>
          <w:smallCaps w:val="false"/>
          <w:position w:val="-2"/>
          <w:sz w:val="16"/>
          <w:sz w:val="20"/>
        </w:rPr>
        <w:t>0</w:t>
      </w:r>
      <w:r>
        <w:rPr>
          <w:rFonts w:ascii="Times New Roman" w:hAnsi="Times New Roman"/>
          <w:caps w:val="false"/>
          <w:smallCaps w:val="false"/>
          <w:sz w:val="20"/>
        </w:rPr>
        <w: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NS’         =         the number of Warrant Shares for which this Warrant is exercisable in effect immediately after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NS</w:t>
      </w:r>
      <w:r>
        <w:rPr>
          <w:rFonts w:ascii="Times New Roman" w:hAnsi="Times New Roman"/>
          <w:caps w:val="false"/>
          <w:smallCaps w:val="false"/>
          <w:position w:val="-2"/>
          <w:sz w:val="16"/>
          <w:sz w:val="20"/>
        </w:rPr>
        <w:t>0</w:t>
      </w:r>
      <w:r>
        <w:rPr>
          <w:rFonts w:ascii="Times New Roman" w:hAnsi="Times New Roman"/>
          <w:caps w:val="false"/>
          <w:smallCaps w:val="false"/>
          <w:sz w:val="20"/>
        </w:rPr>
        <w:t>         =         the number of Warrant Shares for which this Warrant is exercisable in effect immediately prior to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OS</w:t>
      </w:r>
      <w:r>
        <w:rPr>
          <w:rFonts w:ascii="Times New Roman" w:hAnsi="Times New Roman"/>
          <w:caps w:val="false"/>
          <w:smallCaps w:val="false"/>
          <w:position w:val="-2"/>
          <w:sz w:val="16"/>
          <w:sz w:val="20"/>
        </w:rPr>
        <w:t>0</w:t>
      </w:r>
      <w:r>
        <w:rPr>
          <w:rFonts w:ascii="Times New Roman" w:hAnsi="Times New Roman"/>
          <w:caps w:val="false"/>
          <w:smallCaps w:val="false"/>
          <w:sz w:val="20"/>
        </w:rPr>
        <w:t>         =         the number of shares of Common Stock outstanding immediately prior to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X         =         the total number of shares of Common Stock issuable pursuant to such Options;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 xml:space="preserve">Y         =         the number of shares of Common Stock equal to (i)(A) the total number of shares of Common Stock issuable pursuant to such Options </w:t>
      </w:r>
      <w:r>
        <w:rPr>
          <w:rFonts w:ascii="Times New Roman" w:hAnsi="Times New Roman"/>
          <w:i/>
          <w:caps w:val="false"/>
          <w:smallCaps w:val="false"/>
          <w:sz w:val="20"/>
        </w:rPr>
        <w:t>multiplied</w:t>
      </w:r>
      <w:r>
        <w:rPr>
          <w:rFonts w:ascii="Times New Roman" w:hAnsi="Times New Roman"/>
          <w:caps w:val="false"/>
          <w:smallCaps w:val="false"/>
          <w:sz w:val="20"/>
        </w:rPr>
        <w:t xml:space="preserve"> by (B) the price per share of Common Stock payable to exercise such Options, </w:t>
      </w:r>
      <w:r>
        <w:rPr>
          <w:rFonts w:ascii="Times New Roman" w:hAnsi="Times New Roman"/>
          <w:i/>
          <w:caps w:val="false"/>
          <w:smallCaps w:val="false"/>
          <w:sz w:val="20"/>
        </w:rPr>
        <w:t>divided</w:t>
      </w:r>
      <w:r>
        <w:rPr>
          <w:rFonts w:ascii="Times New Roman" w:hAnsi="Times New Roman"/>
          <w:caps w:val="false"/>
          <w:smallCaps w:val="false"/>
          <w:sz w:val="20"/>
        </w:rPr>
        <w:t xml:space="preserve"> by (ii) the Market Price per share of Common Stock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Such adjustment shall be successively made whenever any such Options are issued and shall become effective immediately after 9:00 a.m., New York City time, on the Business Day following the date fixed for such determination. The Company shall not issue any such Options in respect of shares of Common Stock held in treasury by the Company. To the extent that shares of Common Stock are not delivered after the expiration of such Options, the number of Warrant Shares for which this Warrant is exercisable shall be readjusted to be the number of Warrant Shares for which this Warrant would be exercisable had the adjustments made upon the issuance of such Options been made on the basis of delivery of only the number of shares of Common Stock actually delivered. If such Options are not so issued, the number of Warrant Shares for which this Warrant is exercisable shall again be adjusted to be the number of Warrant Shares for which this Warrant would be exercisable if such date fixed for the determination of stockholders entitled to receive such Options had not been fixed. No adjustment shall be made pursuant to this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which shall have the effect of decreasing the number of Warrant Shares issuable upon exercise of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determining whether any Options entitle the Holder to subscribe for or purchase shares of Common Stock at less than such Market Price, and in determining the aggregate price payable to exercise such Options, there shall be taken into account any consideration received by the Company for such Options and any amount payable on exercise thereof, the value of such consideration, if other than cash, to be determined in good faith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the Company adopts or implements a shareholder rights agreement (a “</w:t>
      </w:r>
      <w:r>
        <w:rPr>
          <w:rFonts w:ascii="Times New Roman" w:hAnsi="Times New Roman"/>
          <w:b/>
          <w:i/>
          <w:caps w:val="false"/>
          <w:smallCaps w:val="false"/>
          <w:sz w:val="20"/>
        </w:rPr>
        <w:t>Shareholder Rights Plan</w:t>
      </w:r>
      <w:r>
        <w:rPr>
          <w:rFonts w:ascii="Times New Roman" w:hAnsi="Times New Roman"/>
          <w:caps w:val="false"/>
          <w:smallCaps w:val="false"/>
          <w:sz w:val="20"/>
        </w:rPr>
        <w:t>”) pursuant to which rights (“</w:t>
      </w:r>
      <w:r>
        <w:rPr>
          <w:rFonts w:ascii="Times New Roman" w:hAnsi="Times New Roman"/>
          <w:b/>
          <w:i/>
          <w:caps w:val="false"/>
          <w:smallCaps w:val="false"/>
          <w:sz w:val="20"/>
        </w:rPr>
        <w:t>Rights</w:t>
      </w:r>
      <w:r>
        <w:rPr>
          <w:rFonts w:ascii="Times New Roman" w:hAnsi="Times New Roman"/>
          <w:caps w:val="false"/>
          <w:smallCaps w:val="false"/>
          <w:sz w:val="20"/>
        </w:rPr>
        <w:t xml:space="preserve">”) are distributed to the holders of Common Stock of the Company and such Shareholder Rights Plan provides that each Warrant Share issued upon exercise of this Warrant at any time prior to the distribution of separate certificates representing such Rights will be entitled to receive such Rights, then there shall not be any adjustment to the number of Warrant Shares issuable upon exercise of this Warrant or Exercise Price at any time prior to the distribution of separate certificates representing such Rights. If, however, prior to any exercise, the Rights have separated from the Common Stock, the number of Warrant Shares for which this Warrant is exercisable shall be adjusted at the time of separation as described in this </w:t>
      </w:r>
      <w:r>
        <w:rPr>
          <w:rFonts w:ascii="Times New Roman" w:hAnsi="Times New Roman"/>
          <w:caps w:val="false"/>
          <w:smallCaps w:val="false"/>
          <w:sz w:val="20"/>
          <w:u w:val="single"/>
        </w:rPr>
        <w:t>Section 6.2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6.3    </w:t>
      </w:r>
      <w:r>
        <w:rPr>
          <w:rFonts w:ascii="Times New Roman" w:hAnsi="Times New Roman"/>
          <w:caps w:val="false"/>
          <w:smallCaps w:val="false"/>
          <w:sz w:val="20"/>
          <w:u w:val="single"/>
        </w:rPr>
        <w:t>Cash and Other Distributions</w:t>
      </w:r>
      <w:r>
        <w:rPr>
          <w:rFonts w:ascii="Times New Roman" w:hAnsi="Times New Roman"/>
          <w:caps w:val="false"/>
          <w:smallCaps w:val="false"/>
          <w:sz w:val="20"/>
        </w:rPr>
        <w:t>. If the Company fixes a record date for the making of any distribution of cash, shares of its Common Stock, other securities, evidences of indebtedness or other assets or property of the Company to all or substantially all holders of the Common Stock, excluding:</w:t>
      </w:r>
    </w:p>
    <w:p>
      <w:pPr>
        <w:pStyle w:val="TextBody"/>
        <w:bidi w:val="0"/>
        <w:spacing w:before="0" w:after="0"/>
        <w:ind w:left="0" w:right="0" w:hanging="0"/>
        <w:jc w:val="both"/>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60"/>
        <w:gridCol w:w="200"/>
        <w:gridCol w:w="618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61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dividends or distributions and Options referred to in </w:t>
            </w:r>
            <w:r>
              <w:rPr>
                <w:rFonts w:ascii="Times New Roman;Times;serif" w:hAnsi="Times New Roman;Times;serif"/>
                <w:caps w:val="false"/>
                <w:smallCaps w:val="false"/>
                <w:sz w:val="20"/>
                <w:u w:val="single"/>
              </w:rPr>
              <w:t>Sections 6.1</w:t>
            </w:r>
            <w:r>
              <w:rPr>
                <w:rFonts w:ascii="Times New Roman;Times;serif" w:hAnsi="Times New Roman;Times;serif"/>
                <w:caps w:val="false"/>
                <w:smallCaps w:val="false"/>
                <w:sz w:val="20"/>
              </w:rPr>
              <w:t xml:space="preserve"> or </w:t>
            </w:r>
            <w:r>
              <w:rPr>
                <w:rFonts w:ascii="Times New Roman;Times;serif" w:hAnsi="Times New Roman;Times;serif"/>
                <w:caps w:val="false"/>
                <w:smallCaps w:val="false"/>
                <w:sz w:val="20"/>
                <w:u w:val="single"/>
              </w:rPr>
              <w:t>6.2</w:t>
            </w:r>
            <w:r>
              <w:rPr>
                <w:rFonts w:ascii="Times New Roman;Times;serif" w:hAnsi="Times New Roman;Times;serif"/>
                <w:caps w:val="false"/>
                <w:smallCaps w:val="false"/>
                <w:sz w:val="20"/>
              </w:rPr>
              <w:t>; and</w:t>
            </w:r>
          </w:p>
        </w:tc>
      </w:tr>
    </w:tbl>
    <w:p>
      <w:pPr>
        <w:pStyle w:val="TextBody"/>
        <w:bidi w:val="0"/>
        <w:spacing w:before="0" w:after="0"/>
        <w:ind w:left="0" w:right="0" w:hanging="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60"/>
        <w:gridCol w:w="260"/>
        <w:gridCol w:w="752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75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distributions in connection with the Company’s liquidation, dissolution or winding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then the Holder shall receive, simultaneously with the distribution to the holders of the Company’s Common Stock, a dividend or other distribution of such cash or securities in an amount equal to the amount of such cash or securities as the Holder would have received if the Warrant had been exercised in full into Warrant Shares on the date of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6.4    </w:t>
      </w:r>
      <w:r>
        <w:rPr>
          <w:rFonts w:ascii="Times New Roman" w:hAnsi="Times New Roman"/>
          <w:caps w:val="false"/>
          <w:smallCaps w:val="false"/>
          <w:sz w:val="20"/>
          <w:u w:val="single"/>
        </w:rPr>
        <w:t>Adjustment Upon Issuance of Common Stock</w:t>
      </w:r>
      <w:r>
        <w:rPr>
          <w:rFonts w:ascii="Times New Roman" w:hAnsi="Times New Roman"/>
          <w:caps w:val="false"/>
          <w:smallCaps w:val="false"/>
          <w:sz w:val="20"/>
        </w:rPr>
        <w:t xml:space="preserve">. Except in the case of (i) Common Stock issued by the Company in connection with any Excluded Securities and (ii) an event described in either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if the Company shall, at any time or from time to time after the Issue Date, issue or sell any shares of Common Stock or is deemed to have issued or sold any shares of Common Stock pursuant to </w:t>
      </w:r>
      <w:r>
        <w:rPr>
          <w:rFonts w:ascii="Times New Roman" w:hAnsi="Times New Roman"/>
          <w:caps w:val="false"/>
          <w:smallCaps w:val="false"/>
          <w:sz w:val="20"/>
          <w:u w:val="single"/>
        </w:rPr>
        <w:t>Section 6.4.3</w:t>
      </w:r>
      <w:r>
        <w:rPr>
          <w:rFonts w:ascii="Times New Roman" w:hAnsi="Times New Roman"/>
          <w:caps w:val="false"/>
          <w:smallCaps w:val="false"/>
          <w:sz w:val="20"/>
        </w:rPr>
        <w:t>, in each case, without consideration or for consideration or having a combined purchase and conversion, exchange or exercise price of less than $1.00 per share of Common Stock (the “</w:t>
      </w:r>
      <w:r>
        <w:rPr>
          <w:rFonts w:ascii="Times New Roman" w:hAnsi="Times New Roman"/>
          <w:b/>
          <w:i/>
          <w:caps w:val="false"/>
          <w:smallCaps w:val="false"/>
          <w:sz w:val="20"/>
        </w:rPr>
        <w:t>Minimum Price</w:t>
      </w:r>
      <w:r>
        <w:rPr>
          <w:rFonts w:ascii="Times New Roman" w:hAnsi="Times New Roman"/>
          <w:caps w:val="false"/>
          <w:smallCaps w:val="false"/>
          <w:sz w:val="20"/>
        </w:rPr>
        <w:t>”), the number of Warrant Shares for which this Warrant is exercisable will be adjusted based on the following formula: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NS’ = NS</w:t>
      </w:r>
      <w:r>
        <w:rPr>
          <w:rFonts w:ascii="Times New Roman" w:hAnsi="Times New Roman"/>
          <w:caps w:val="false"/>
          <w:smallCaps w:val="false"/>
          <w:position w:val="-2"/>
          <w:sz w:val="16"/>
          <w:sz w:val="20"/>
        </w:rPr>
        <w:t>0</w:t>
      </w:r>
      <w:r>
        <w:rPr>
          <w:rFonts w:ascii="Times New Roman" w:hAnsi="Times New Roman"/>
          <w:caps w:val="false"/>
          <w:smallCaps w:val="false"/>
          <w:sz w:val="20"/>
        </w:rPr>
        <w:t xml:space="preserve"> x </w:t>
      </w:r>
      <w:r>
        <w:rPr>
          <w:rFonts w:ascii="Times New Roman" w:hAnsi="Times New Roman"/>
          <w:caps w:val="false"/>
          <w:smallCaps w:val="false"/>
          <w:sz w:val="20"/>
          <w:u w:val="single"/>
        </w:rPr>
        <w:t xml:space="preserve">     DOS’     </w:t>
      </w:r>
    </w:p>
    <w:p>
      <w:pPr>
        <w:pStyle w:val="TextBody"/>
        <w:bidi w:val="0"/>
        <w:spacing w:before="0" w:after="0"/>
        <w:ind w:left="1080" w:right="0" w:hanging="0"/>
        <w:jc w:val="center"/>
        <w:rPr>
          <w:rFonts w:ascii="Times New Roman" w:hAnsi="Times New Roman"/>
          <w:caps w:val="false"/>
          <w:smallCaps w:val="false"/>
          <w:sz w:val="20"/>
        </w:rPr>
      </w:pPr>
      <w:r>
        <w:rPr>
          <w:rFonts w:ascii="Times New Roman" w:hAnsi="Times New Roman"/>
          <w:caps w:val="false"/>
          <w:smallCaps w:val="false"/>
          <w:sz w:val="20"/>
        </w:rPr>
        <w:t>DOS</w:t>
      </w:r>
      <w:r>
        <w:rPr>
          <w:rFonts w:ascii="Times New Roman" w:hAnsi="Times New Roman"/>
          <w:caps w:val="false"/>
          <w:smallCaps w:val="false"/>
          <w:position w:val="-2"/>
          <w:sz w:val="16"/>
          <w:sz w:val="20"/>
        </w:rPr>
        <w:t>0</w:t>
      </w:r>
      <w:r>
        <w:rPr>
          <w:rFonts w:ascii="Times New Roman" w:hAnsi="Times New Roman"/>
          <w:caps w:val="false"/>
          <w:smallCaps w:val="false"/>
          <w:sz w:val="20"/>
        </w:rPr>
        <w:t xml:space="preserve"> + Z</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NS’         =         the number of Warrant Shares for which this Warrant is exercisable in effect immediately after such issuance or sale (or deemed issuance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NS</w:t>
      </w:r>
      <w:r>
        <w:rPr>
          <w:rFonts w:ascii="Times New Roman" w:hAnsi="Times New Roman"/>
          <w:caps w:val="false"/>
          <w:smallCaps w:val="false"/>
          <w:position w:val="-2"/>
          <w:sz w:val="16"/>
          <w:sz w:val="20"/>
        </w:rPr>
        <w:t>0</w:t>
      </w:r>
      <w:r>
        <w:rPr>
          <w:rFonts w:ascii="Times New Roman" w:hAnsi="Times New Roman"/>
          <w:caps w:val="false"/>
          <w:smallCaps w:val="false"/>
          <w:sz w:val="20"/>
        </w:rPr>
        <w:t>         =         the number of Warrant Shares for which this Warrant is exercisable in effect immediately prior to such issuance or sale (or deemed issuance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DOS’         =         the Common Stock Deemed Outstanding as of immediately after such issuance or sale (or deemed issuance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DOS</w:t>
      </w:r>
      <w:r>
        <w:rPr>
          <w:rFonts w:ascii="Times New Roman" w:hAnsi="Times New Roman"/>
          <w:caps w:val="false"/>
          <w:smallCaps w:val="false"/>
          <w:position w:val="-2"/>
          <w:sz w:val="16"/>
          <w:sz w:val="20"/>
        </w:rPr>
        <w:t>0</w:t>
      </w:r>
      <w:r>
        <w:rPr>
          <w:rFonts w:ascii="Times New Roman" w:hAnsi="Times New Roman"/>
          <w:caps w:val="false"/>
          <w:smallCaps w:val="false"/>
          <w:sz w:val="20"/>
        </w:rPr>
        <w:t>         =         the Common Stock Deemed Outstanding as of immediately prior to such issuance or sale (or deemed issuance or sale);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Z         =         the aggregate number of shares of Common Stock which the aggregate amount of consideration, if any, received by the Company upon such issuance or sale (or deemed issuance or sale) would purchase at the Minimum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the purposes of any adjustment of the number of shares of Common Stock issuable upon exercise of a Warrant pursuant to this </w:t>
      </w:r>
      <w:r>
        <w:rPr>
          <w:rFonts w:ascii="Times New Roman" w:hAnsi="Times New Roman"/>
          <w:caps w:val="false"/>
          <w:smallCaps w:val="false"/>
          <w:sz w:val="20"/>
          <w:u w:val="single"/>
        </w:rPr>
        <w:t>Section 6</w:t>
      </w:r>
      <w:r>
        <w:rPr>
          <w:rFonts w:ascii="Times New Roman" w:hAnsi="Times New Roman"/>
          <w:caps w:val="false"/>
          <w:smallCaps w:val="false"/>
          <w:sz w:val="20"/>
        </w:rPr>
        <w:t>, the following provisions shall be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6.4.1    In the case of the issuance or sale of shares of Common Stock, Options or Convertible Securities for cash, the amount of the consideration received by the Company shall be deemed to be the amount of the gross cash proceeds received by the Company for such securities before deducting from such amount any discounts or commissions allowed, paid or incurred by the Company for any underwriting or otherwise in connection with the issuance and sale of such Common Stock, Options or Convertible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6.4.2    In the case of the issuance or sale of shares of Common Stock, Options or Convertible Securities (other than upon the conversion of stock or other securities of the Company) for consideration in whole or in part other than cash, including securities acquired in exchange for such shares of Common Stock, Options or Convertible Securities (other than securities by their terms so exchangeable), the consideration other than cash shall be deemed to be the fair market value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6.4.3    In the case of the issuance of Convertible Securities or Options (in each case, whether or not at the time so convertible, exchangeable or exercisable): (i) the aggregate maximum number of shares of Common Stock deliverable upon conversion, exchange or exercise of such Convertible Securities or Options shall be deemed to have been issued at the time such Convertible Securities or Options are issued and for consideration equal to the consideration (determined in the manner provided in this </w:t>
      </w:r>
      <w:r>
        <w:rPr>
          <w:rFonts w:ascii="Times New Roman" w:hAnsi="Times New Roman"/>
          <w:caps w:val="false"/>
          <w:smallCaps w:val="false"/>
          <w:sz w:val="20"/>
          <w:u w:val="single"/>
        </w:rPr>
        <w:t>Section 6.4</w:t>
      </w:r>
      <w:r>
        <w:rPr>
          <w:rFonts w:ascii="Times New Roman" w:hAnsi="Times New Roman"/>
          <w:caps w:val="false"/>
          <w:smallCaps w:val="false"/>
          <w:sz w:val="20"/>
        </w:rPr>
        <w:t xml:space="preserve">), if any, received by the Company upon the issuance or sale of such Convertible Securities or Options </w:t>
      </w:r>
      <w:r>
        <w:rPr>
          <w:rFonts w:ascii="Times New Roman" w:hAnsi="Times New Roman"/>
          <w:i/>
          <w:caps w:val="false"/>
          <w:smallCaps w:val="false"/>
          <w:sz w:val="20"/>
        </w:rPr>
        <w:t>plus</w:t>
      </w:r>
      <w:r>
        <w:rPr>
          <w:rFonts w:ascii="Times New Roman" w:hAnsi="Times New Roman"/>
          <w:caps w:val="false"/>
          <w:smallCaps w:val="false"/>
          <w:sz w:val="20"/>
        </w:rPr>
        <w:t xml:space="preserve"> the minimum purchase price provided in such Convertible Securities or Options for shares of Common Stock issuable upon conversion, exchange or exercise of such Convertible Securities or Options; and (ii) if the number of shares of Common Stock issuable upon exercise of a Warrant shall have been adjusted upon the issuance or sale of any Convertible Securities or Options, no further adjustment of the number of shares of Common Stock issuable upon exercise of a Warrant shall be made for the actual issuance of shares of Common Stock upon the exercise, conversion or exchange of such Convertible Securities or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6.5    </w:t>
      </w:r>
      <w:r>
        <w:rPr>
          <w:rFonts w:ascii="Times New Roman" w:hAnsi="Times New Roman"/>
          <w:caps w:val="false"/>
          <w:smallCaps w:val="false"/>
          <w:sz w:val="20"/>
          <w:u w:val="single"/>
        </w:rPr>
        <w:t>No Adjustment if Participating</w:t>
      </w:r>
      <w:r>
        <w:rPr>
          <w:rFonts w:ascii="Times New Roman" w:hAnsi="Times New Roman"/>
          <w:caps w:val="false"/>
          <w:smallCaps w:val="false"/>
          <w:sz w:val="20"/>
        </w:rPr>
        <w:t xml:space="preserve">. Notwithstanding the foregoing provisions of this </w:t>
      </w:r>
      <w:r>
        <w:rPr>
          <w:rFonts w:ascii="Times New Roman" w:hAnsi="Times New Roman"/>
          <w:caps w:val="false"/>
          <w:smallCaps w:val="false"/>
          <w:sz w:val="20"/>
          <w:u w:val="single"/>
        </w:rPr>
        <w:t>Section 6</w:t>
      </w:r>
      <w:r>
        <w:rPr>
          <w:rFonts w:ascii="Times New Roman" w:hAnsi="Times New Roman"/>
          <w:caps w:val="false"/>
          <w:smallCaps w:val="false"/>
          <w:sz w:val="20"/>
        </w:rPr>
        <w:t>, no adjustment shall be made thereunder, nor shall an adjustment be made to the ability of a Holder to exercise, for any distribution described therein if the Holder will otherwise participate in the distribution with respect to its Warrant Shares without exercise of this Warrant (without giving effect to any separate exercise of 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6.6    </w:t>
      </w:r>
      <w:r>
        <w:rPr>
          <w:rFonts w:ascii="Times New Roman" w:hAnsi="Times New Roman"/>
          <w:caps w:val="false"/>
          <w:smallCaps w:val="false"/>
          <w:sz w:val="20"/>
          <w:u w:val="single"/>
        </w:rPr>
        <w:t>No Adjustment</w:t>
      </w:r>
      <w:r>
        <w:rPr>
          <w:rFonts w:ascii="Times New Roman" w:hAnsi="Times New Roman"/>
          <w:caps w:val="false"/>
          <w:smallCaps w:val="false"/>
          <w:sz w:val="20"/>
        </w:rPr>
        <w:t>. No adjustment to the Exercise Price or the number of Warrant Shares for which this Warrant is exercisable need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6.6.1    upon the issuance of any shares of Common Stock pursuant to any present or future plan providing for the reinvestment of dividends or interest payable on securities of the Company and the investment of additional optional amounts in shares of Common Stock under any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6.6.2    upon the issuance of any shares of Common Stock or Options to purchase shares of Common Stock pursuant to any present or future employee, director or consultant benefit plan or program of or assumed by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6.6.3    upon the issuance of any shares of Common Stock pursuant to any Option, or exercisable, exchangeable or convertible security not described in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and outstanding as of the Issue Date or issued in exchange for (or as a replacement of) any such security outstanding as of the Issue Date;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6.6.4    for a change in the par value of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6.7    </w:t>
      </w:r>
      <w:r>
        <w:rPr>
          <w:rFonts w:ascii="Times New Roman" w:hAnsi="Times New Roman"/>
          <w:caps w:val="false"/>
          <w:smallCaps w:val="false"/>
          <w:sz w:val="20"/>
          <w:u w:val="single"/>
        </w:rPr>
        <w:t>Calculations</w:t>
      </w:r>
      <w:r>
        <w:rPr>
          <w:rFonts w:ascii="Times New Roman" w:hAnsi="Times New Roman"/>
          <w:caps w:val="false"/>
          <w:smallCaps w:val="false"/>
          <w:sz w:val="20"/>
        </w:rPr>
        <w:t xml:space="preserve">. All adjustments made to the Warrant Shares issuable upon exercise of each Warrant pursuant to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shall be calculated to the nearest one-ten thousandth of a Warrant Share (0.0001). Except as described in this </w:t>
      </w:r>
      <w:r>
        <w:rPr>
          <w:rFonts w:ascii="Times New Roman" w:hAnsi="Times New Roman"/>
          <w:caps w:val="false"/>
          <w:smallCaps w:val="false"/>
          <w:sz w:val="20"/>
          <w:u w:val="single"/>
        </w:rPr>
        <w:t>Section 6</w:t>
      </w:r>
      <w:r>
        <w:rPr>
          <w:rFonts w:ascii="Times New Roman" w:hAnsi="Times New Roman"/>
          <w:caps w:val="false"/>
          <w:smallCaps w:val="false"/>
          <w:sz w:val="20"/>
        </w:rPr>
        <w:t>, the Company will not adjust the number of Warrant Shares for which this Warrant is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 adjustments of the number of Warrant Shares issuable upon the exercise of this Warrant that would otherwise be required shall be made unless and until such adjustment either by itself or with other adjustments not previously made increases or decreases by at least 0.1% the number of Warrant Shares issuable upon the exercise of this Warrant immediately prior to the making of such adjustment. Any adjustment representing a change of less than such minimum amount shall be carried forward and made as soon as such adjustment, together with other adjustments required by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and not previously made, would result in such minimum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6.8    </w:t>
      </w:r>
      <w:r>
        <w:rPr>
          <w:rFonts w:ascii="Times New Roman" w:hAnsi="Times New Roman"/>
          <w:caps w:val="false"/>
          <w:smallCaps w:val="false"/>
          <w:sz w:val="20"/>
          <w:u w:val="single"/>
        </w:rPr>
        <w:t>Adjustment Event</w:t>
      </w:r>
      <w:r>
        <w:rPr>
          <w:rFonts w:ascii="Times New Roman" w:hAnsi="Times New Roman"/>
          <w:caps w:val="false"/>
          <w:smallCaps w:val="false"/>
          <w:sz w:val="20"/>
        </w:rPr>
        <w:t xml:space="preserve">. In any case in which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provides that an adjustment shall become effective immediately after (i) a record date or record date for an event, (ii) the date fixed for the determination of stockholders entitled to receive a dividend or distribution pursuant to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or (iii) a date fixed for the determination of stockholders entitled to receive Options pursuant to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(each, a “</w:t>
      </w:r>
      <w:r>
        <w:rPr>
          <w:rFonts w:ascii="Times New Roman" w:hAnsi="Times New Roman"/>
          <w:b/>
          <w:i/>
          <w:caps w:val="false"/>
          <w:smallCaps w:val="false"/>
          <w:sz w:val="20"/>
        </w:rPr>
        <w:t>Determination Date</w:t>
      </w:r>
      <w:r>
        <w:rPr>
          <w:rFonts w:ascii="Times New Roman" w:hAnsi="Times New Roman"/>
          <w:caps w:val="false"/>
          <w:smallCaps w:val="false"/>
          <w:sz w:val="20"/>
        </w:rPr>
        <w:t xml:space="preserve">”), the Company may elect to defer until the occurrence of the applicable Adjustment Event (x) issuing to the Holder of any Warrant exercised after such Determination Date and before the occurrence of such Adjustment Event, the additional shares of Common Stock or other securities issuable upon such exercise by reason of the adjustment required by such Adjustment Event over and above the Common Stock issuable upon such conversion before giving effect to such adjustment and (y) paying to such Holder any amount in cash in lieu of any fraction pursuant to </w:t>
      </w:r>
      <w:r>
        <w:rPr>
          <w:rFonts w:ascii="Times New Roman" w:hAnsi="Times New Roman"/>
          <w:caps w:val="false"/>
          <w:smallCaps w:val="false"/>
          <w:sz w:val="20"/>
          <w:u w:val="single"/>
        </w:rPr>
        <w:t>Section 5</w:t>
      </w:r>
      <w:r>
        <w:rPr>
          <w:rFonts w:ascii="Times New Roman" w:hAnsi="Times New Roman"/>
          <w:caps w:val="false"/>
          <w:smallCaps w:val="false"/>
          <w:sz w:val="20"/>
        </w:rPr>
        <w:t xml:space="preserve">. For purposes of this </w:t>
      </w:r>
      <w:r>
        <w:rPr>
          <w:rFonts w:ascii="Times New Roman" w:hAnsi="Times New Roman"/>
          <w:caps w:val="false"/>
          <w:smallCaps w:val="false"/>
          <w:sz w:val="20"/>
          <w:u w:val="single"/>
        </w:rPr>
        <w:t>Section 6</w:t>
      </w:r>
      <w:r>
        <w:rPr>
          <w:rFonts w:ascii="Times New Roman" w:hAnsi="Times New Roman"/>
          <w:caps w:val="false"/>
          <w:smallCaps w:val="false"/>
          <w:sz w:val="20"/>
        </w:rPr>
        <w:t>, the term “</w:t>
      </w:r>
      <w:r>
        <w:rPr>
          <w:rFonts w:ascii="Times New Roman" w:hAnsi="Times New Roman"/>
          <w:b/>
          <w:i/>
          <w:caps w:val="false"/>
          <w:smallCaps w:val="false"/>
          <w:sz w:val="20"/>
        </w:rPr>
        <w:t>Adjustment Event</w:t>
      </w:r>
      <w:r>
        <w:rPr>
          <w:rFonts w:ascii="Times New Roman" w:hAnsi="Times New Roman"/>
          <w:caps w:val="false"/>
          <w:smallCaps w:val="false"/>
          <w:sz w:val="20"/>
        </w:rPr>
        <w:t>” shall mean:</w:t>
      </w:r>
    </w:p>
    <w:p>
      <w:pPr>
        <w:pStyle w:val="TextBody"/>
        <w:bidi w:val="0"/>
        <w:spacing w:before="0" w:after="0"/>
        <w:ind w:left="0"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275"/>
        <w:gridCol w:w="579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57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in any case referred to in </w:t>
            </w:r>
            <w:r>
              <w:rPr>
                <w:rFonts w:ascii="Times New Roman;Times;serif" w:hAnsi="Times New Roman;Times;serif"/>
                <w:caps w:val="false"/>
                <w:smallCaps w:val="false"/>
                <w:sz w:val="20"/>
                <w:u w:val="single"/>
              </w:rPr>
              <w:t>clause (i)</w:t>
            </w:r>
            <w:r>
              <w:rPr>
                <w:rFonts w:ascii="Times New Roman;Times;serif" w:hAnsi="Times New Roman;Times;serif"/>
                <w:caps w:val="false"/>
                <w:smallCaps w:val="false"/>
                <w:sz w:val="20"/>
              </w:rPr>
              <w:t> hereof, the occurrence of such event;</w:t>
            </w:r>
          </w:p>
        </w:tc>
      </w:tr>
    </w:tbl>
    <w:p>
      <w:pPr>
        <w:pStyle w:val="TextBody"/>
        <w:bidi w:val="0"/>
        <w:spacing w:before="0" w:after="0"/>
        <w:ind w:left="0" w:right="0" w:hanging="0"/>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60"/>
        <w:gridCol w:w="275"/>
        <w:gridCol w:w="85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85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in any case referred to in </w:t>
            </w:r>
            <w:r>
              <w:rPr>
                <w:rFonts w:ascii="Times New Roman;Times;serif" w:hAnsi="Times New Roman;Times;serif"/>
                <w:caps w:val="false"/>
                <w:smallCaps w:val="false"/>
                <w:sz w:val="20"/>
                <w:u w:val="single"/>
              </w:rPr>
              <w:t>clause (ii)</w:t>
            </w:r>
            <w:r>
              <w:rPr>
                <w:rFonts w:ascii="Times New Roman;Times;serif" w:hAnsi="Times New Roman;Times;serif"/>
                <w:caps w:val="false"/>
                <w:smallCaps w:val="false"/>
                <w:sz w:val="20"/>
              </w:rPr>
              <w:t> hereof, the date any such dividend or distribution is paid or made; and</w:t>
            </w:r>
          </w:p>
        </w:tc>
      </w:tr>
    </w:tbl>
    <w:p>
      <w:pPr>
        <w:pStyle w:val="TextBody"/>
        <w:bidi w:val="0"/>
        <w:spacing w:before="0" w:after="0"/>
        <w:ind w:left="0" w:right="0" w:hanging="0"/>
        <w:jc w:val="both"/>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60"/>
        <w:gridCol w:w="275"/>
        <w:gridCol w:w="986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8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in any case referred to in </w:t>
            </w:r>
            <w:r>
              <w:rPr>
                <w:rFonts w:ascii="Times New Roman;Times;serif" w:hAnsi="Times New Roman;Times;serif"/>
                <w:caps w:val="false"/>
                <w:smallCaps w:val="false"/>
                <w:sz w:val="20"/>
                <w:u w:val="single"/>
              </w:rPr>
              <w:t>clause (iii)</w:t>
            </w:r>
            <w:r>
              <w:rPr>
                <w:rFonts w:ascii="Times New Roman;Times;serif" w:hAnsi="Times New Roman;Times;serif"/>
                <w:caps w:val="false"/>
                <w:smallCaps w:val="false"/>
                <w:sz w:val="20"/>
              </w:rPr>
              <w:t> hereof, the earlier of the date of expiration or the date of full exercise of such Options.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6.9    </w:t>
      </w:r>
      <w:r>
        <w:rPr>
          <w:rFonts w:ascii="Times New Roman" w:hAnsi="Times New Roman"/>
          <w:caps w:val="false"/>
          <w:smallCaps w:val="false"/>
          <w:sz w:val="20"/>
          <w:u w:val="single"/>
        </w:rPr>
        <w:t>Number of Shares Outstanding</w:t>
      </w:r>
      <w:r>
        <w:rPr>
          <w:rFonts w:ascii="Times New Roman" w:hAnsi="Times New Roman"/>
          <w:caps w:val="false"/>
          <w:smallCaps w:val="false"/>
          <w:sz w:val="20"/>
        </w:rPr>
        <w:t xml:space="preserve">. For purposes of this </w:t>
      </w:r>
      <w:r>
        <w:rPr>
          <w:rFonts w:ascii="Times New Roman" w:hAnsi="Times New Roman"/>
          <w:caps w:val="false"/>
          <w:smallCaps w:val="false"/>
          <w:sz w:val="20"/>
          <w:u w:val="single"/>
        </w:rPr>
        <w:t>Section 6</w:t>
      </w:r>
      <w:r>
        <w:rPr>
          <w:rFonts w:ascii="Times New Roman" w:hAnsi="Times New Roman"/>
          <w:caps w:val="false"/>
          <w:smallCaps w:val="false"/>
          <w:sz w:val="20"/>
        </w:rPr>
        <w:t>,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6.10    </w:t>
      </w:r>
      <w:r>
        <w:rPr>
          <w:rFonts w:ascii="Times New Roman" w:hAnsi="Times New Roman"/>
          <w:caps w:val="false"/>
          <w:smallCaps w:val="false"/>
          <w:sz w:val="20"/>
          <w:u w:val="single"/>
        </w:rPr>
        <w:t>Successive Adjustments</w:t>
      </w:r>
      <w:r>
        <w:rPr>
          <w:rFonts w:ascii="Times New Roman" w:hAnsi="Times New Roman"/>
          <w:caps w:val="false"/>
          <w:smallCaps w:val="false"/>
          <w:sz w:val="20"/>
        </w:rPr>
        <w:t xml:space="preserve">. Successive adjustments in the number of Warrant Shares for which this Warrant is exercisable shall be made, without duplication, whenever any event specified in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shall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6.11    </w:t>
      </w:r>
      <w:r>
        <w:rPr>
          <w:rFonts w:ascii="Times New Roman" w:hAnsi="Times New Roman"/>
          <w:caps w:val="false"/>
          <w:smallCaps w:val="false"/>
          <w:sz w:val="20"/>
          <w:u w:val="single"/>
        </w:rPr>
        <w:t>Adjustment for Unspecified Actions</w:t>
      </w:r>
      <w:r>
        <w:rPr>
          <w:rFonts w:ascii="Times New Roman" w:hAnsi="Times New Roman"/>
          <w:caps w:val="false"/>
          <w:smallCaps w:val="false"/>
          <w:sz w:val="20"/>
        </w:rPr>
        <w:t xml:space="preserve">. If the Company takes any action affecting the Common Stock, other than any action described in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which in the opinion of the Board would materially adversely affect the exercise rights of the Holder, then the number of Warrant Shares received upon exercise of this Warrant may be adjusted, to the extent permitted by law, in such manner, if any, and at such time as the Board may determine in good faith to be equitable in the circumstances;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no event shall any adjustment have the effect of increasing the Exercise Price or decreasing the number of Warrant Shares for which this Warrant may be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b/>
          <w:i/>
          <w:caps w:val="false"/>
          <w:smallCaps w:val="false"/>
          <w:sz w:val="20"/>
        </w:rPr>
        <w:t>Liquidity Event</w:t>
      </w:r>
      <w:r>
        <w:rPr>
          <w:rFonts w:ascii="Times New Roman" w:hAnsi="Times New Roman"/>
          <w:caps w:val="false"/>
          <w:smallCaps w:val="false"/>
          <w:sz w:val="20"/>
        </w:rPr>
        <w:t xml:space="preserve">. Any recapitalization, reorganization, reclassification, consolidation, merger, or other transaction, which, in each case, is effected in such a way that all of the holders of Common Stock are entitled to receive (either directly or upon subsequent related dividend, distribution or liquidation) cash, stock, securities or assets (or a combination of the foregoing) with respect to or in exchange for Common Stock (other than a transaction that triggers an adjustment pursuant to </w:t>
      </w:r>
      <w:r>
        <w:rPr>
          <w:rFonts w:ascii="Times New Roman" w:hAnsi="Times New Roman"/>
          <w:caps w:val="false"/>
          <w:smallCaps w:val="false"/>
          <w:sz w:val="20"/>
          <w:u w:val="single"/>
        </w:rPr>
        <w:t>Sections 6.1</w:t>
      </w:r>
      <w:r>
        <w:rPr>
          <w:rFonts w:ascii="Times New Roman" w:hAnsi="Times New Roman"/>
          <w:caps w:val="false"/>
          <w:smallCaps w:val="false"/>
          <w:sz w:val="20"/>
        </w:rPr>
        <w:t xml:space="preserve"> or </w:t>
      </w:r>
      <w:r>
        <w:rPr>
          <w:rFonts w:ascii="Times New Roman" w:hAnsi="Times New Roman"/>
          <w:caps w:val="false"/>
          <w:smallCaps w:val="false"/>
          <w:sz w:val="20"/>
          <w:u w:val="single"/>
        </w:rPr>
        <w:t>6.2</w:t>
      </w:r>
      <w:r>
        <w:rPr>
          <w:rFonts w:ascii="Times New Roman" w:hAnsi="Times New Roman"/>
          <w:caps w:val="false"/>
          <w:smallCaps w:val="false"/>
          <w:sz w:val="20"/>
        </w:rPr>
        <w:t>) is referred to herein as a “</w:t>
      </w:r>
      <w:r>
        <w:rPr>
          <w:rFonts w:ascii="Times New Roman" w:hAnsi="Times New Roman"/>
          <w:b/>
          <w:i/>
          <w:caps w:val="false"/>
          <w:smallCaps w:val="false"/>
          <w:sz w:val="20"/>
        </w:rPr>
        <w:t>Liquidity Event</w:t>
      </w:r>
      <w:r>
        <w:rPr>
          <w:rFonts w:ascii="Times New Roman" w:hAnsi="Times New Roman"/>
          <w:caps w:val="false"/>
          <w:smallCaps w:val="false"/>
          <w:sz w:val="20"/>
        </w:rPr>
        <w:t xml:space="preserve">”. In connection with any Liquidity Event, each Holder shall have the right to acquire and receive, upon exercise of such Warrants, such cash, stock, securities or other assets or property as would have been issued or payable in such Liquidity Event (if such Holder had exercised such Warrant immediately prior to such Liquidity Event) with respect to or in exchange, as applicable, for the number of Warrant Shares that would have been issued upon exercise of such Warrants. The Company shall not effect any Liquidity Event unless simultaneously with the consummation thereof, the surviving or resulting Person (if other than the Company) resulting from such Liquidity Event shall assume in all material respects (including with respect to the provisions of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and this </w:t>
      </w:r>
      <w:r>
        <w:rPr>
          <w:rFonts w:ascii="Times New Roman" w:hAnsi="Times New Roman"/>
          <w:caps w:val="false"/>
          <w:smallCaps w:val="false"/>
          <w:sz w:val="20"/>
          <w:u w:val="single"/>
        </w:rPr>
        <w:t>Section 7</w:t>
      </w:r>
      <w:r>
        <w:rPr>
          <w:rFonts w:ascii="Times New Roman" w:hAnsi="Times New Roman"/>
          <w:caps w:val="false"/>
          <w:smallCaps w:val="false"/>
          <w:sz w:val="20"/>
        </w:rPr>
        <w:t xml:space="preserve">), the obligation to deliver to the Holder such cash, stock, securities or other assets or property which, in accordance with the foregoing provision, the Holder shall be entitled to receive upon exercise of the Warrants. The provisions of this </w:t>
      </w:r>
      <w:r>
        <w:rPr>
          <w:rFonts w:ascii="Times New Roman" w:hAnsi="Times New Roman"/>
          <w:caps w:val="false"/>
          <w:smallCaps w:val="false"/>
          <w:sz w:val="20"/>
          <w:u w:val="single"/>
        </w:rPr>
        <w:t>Section 7</w:t>
      </w:r>
      <w:r>
        <w:rPr>
          <w:rFonts w:ascii="Times New Roman" w:hAnsi="Times New Roman"/>
          <w:caps w:val="false"/>
          <w:smallCaps w:val="false"/>
          <w:sz w:val="20"/>
        </w:rPr>
        <w:t xml:space="preserve"> shall similarly apply to successive Liquidity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8.            </w:t>
      </w:r>
      <w:r>
        <w:rPr>
          <w:rFonts w:ascii="Times New Roman" w:hAnsi="Times New Roman"/>
          <w:b/>
          <w:i/>
          <w:caps w:val="false"/>
          <w:smallCaps w:val="false"/>
          <w:sz w:val="20"/>
        </w:rPr>
        <w:t>Notices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8.1    </w:t>
      </w:r>
      <w:r>
        <w:rPr>
          <w:rFonts w:ascii="Times New Roman" w:hAnsi="Times New Roman"/>
          <w:caps w:val="false"/>
          <w:smallCaps w:val="false"/>
          <w:sz w:val="20"/>
          <w:u w:val="single"/>
        </w:rPr>
        <w:t>Notices Generally</w:t>
      </w:r>
      <w:r>
        <w:rPr>
          <w:rFonts w:ascii="Times New Roman" w:hAnsi="Times New Roman"/>
          <w:caps w:val="false"/>
          <w:smallCaps w:val="false"/>
          <w:sz w:val="20"/>
        </w:rPr>
        <w:t xml:space="preserve">. Except as otherwise expressly provided hereunder, all notices referred to herein shall be in writing and shall be delivered by registered or certified mail, return receipt requested and postage prepaid, or by reputable overnight courier service, charges prepaid, and shall be deemed to have been given when so mailed or sent (i) to the Company, at its principal executive offices and (ii) to the Holder, at the Holder’s address as it appears in the stock records of the Company (unless otherwise indicated by the Holder in writing), and to such other Persons identified in </w:t>
      </w:r>
      <w:r>
        <w:rPr>
          <w:rFonts w:ascii="Times New Roman" w:hAnsi="Times New Roman"/>
          <w:caps w:val="false"/>
          <w:smallCaps w:val="false"/>
          <w:sz w:val="20"/>
          <w:u w:val="single"/>
        </w:rPr>
        <w:t>Exhibit E</w:t>
      </w:r>
      <w:r>
        <w:rPr>
          <w:rFonts w:ascii="Times New Roman" w:hAnsi="Times New Roman"/>
          <w:caps w:val="false"/>
          <w:smallCaps w:val="false"/>
          <w:sz w:val="20"/>
        </w:rPr>
        <w:t xml:space="preserve"> hereto (as may be revised by the Holder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8.2    </w:t>
      </w:r>
      <w:r>
        <w:rPr>
          <w:rFonts w:ascii="Times New Roman" w:hAnsi="Times New Roman"/>
          <w:caps w:val="false"/>
          <w:smallCaps w:val="false"/>
          <w:sz w:val="20"/>
          <w:u w:val="single"/>
        </w:rPr>
        <w:t>Notice of Adjustment</w:t>
      </w:r>
      <w:r>
        <w:rPr>
          <w:rFonts w:ascii="Times New Roman" w:hAnsi="Times New Roman"/>
          <w:caps w:val="false"/>
          <w:smallCaps w:val="false"/>
          <w:sz w:val="20"/>
        </w:rPr>
        <w:t>. Whenever the number of Warrant Shares and other property, if any, issuable upon the exercise of the Warrants is adjusted, as herein provided, the Company shall deliver to the Holder a certificate of its Chief Financial Officer setting forth, in reasonable detail, the event requiring the adjustment and the method by which such adjustment was calculated and specifying the number of Warrant Shares issuable upon exercise of the Warrants after giving effect to such adjustment. Notwithstanding the foregoing, if the Holder objects to the number of Warrant Shares issuable upon exercise of the Warrants (after giving effect to the proposed adjustment) set forth in the certificate provided by the Company’s Chief Financial Officer, the Company shall promptly obtain a certificate of an Independent Financial Expert appointed for such purpose setting forth the same information and detail as required in the immediately preceding sentence, and such certificate shall be used for the basis to effect the applicable adjustment to the Exercise Price and the number of Warrant Shares issuable upon exercise of the Warrants. The costs and expenses of such Independent Financial Expert shall be paid by the Holder, unless the calculations of the Exercise Price and the number of Warrant Shares issuable upon exercise of the Warrants (after giving effect to the proposed adjustment) set forth in the certificate of the Independent Financial Expert differ by 3% or more from the calculations set forth in the certificate provided by the Company’s Chief Financial Officer, in which case such costs and expenses shall be paid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8.3    </w:t>
      </w:r>
      <w:r>
        <w:rPr>
          <w:rFonts w:ascii="Times New Roman" w:hAnsi="Times New Roman"/>
          <w:caps w:val="false"/>
          <w:smallCaps w:val="false"/>
          <w:sz w:val="20"/>
          <w:u w:val="single"/>
        </w:rPr>
        <w:t>Notice of Certain Transactions</w:t>
      </w:r>
      <w:r>
        <w:rPr>
          <w:rFonts w:ascii="Times New Roman" w:hAnsi="Times New Roman"/>
          <w:caps w:val="false"/>
          <w:smallCaps w:val="false"/>
          <w:sz w:val="20"/>
        </w:rPr>
        <w:t xml:space="preserve">. In the event the Company shall propose to (i) distribute any dividend or other distribution to all holders of its Common Stock or options, warrants or other rights to receive such dividend or distribution, (ii) offer to all holders of its Common Stock Options to subscribe for or to purchase any Convertible Securities or shares of stock of any class or any other securities, rights or options, (iii) effect any capital reorganization, reclassification, consolidation or merger, (iv) effect the voluntary or involuntary dissolution, liquidation or winding-up of the Company or (v) make a tender offer or exchange offer with respect to the Common Stock, the Company shall promptly send to the Holder a notice of such proposed action or offer in accordance with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if any, of such action on the Common Stock and on the number and kind of any other shares of stock and other property of the Company, if any, and the number of shares of Common Stock and other property, if any, issuable upon exercise of each Warrant and the Exercise Price after giving effect to any such adjustment pursuant to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which will be required as a result of such action. Such notice shall be given as promptly as possible and, in any case, not less than fourteen (14) days prior to the date of the taking of such action, or participation therein, by the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b/>
          <w:i/>
          <w:caps w:val="false"/>
          <w:smallCaps w:val="false"/>
          <w:sz w:val="20"/>
        </w:rPr>
        <w:t>Certain Tax Covenants</w:t>
      </w:r>
      <w:r>
        <w:rPr>
          <w:rFonts w:ascii="Times New Roman" w:hAnsi="Times New Roman"/>
          <w:i/>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9.1    </w:t>
      </w:r>
      <w:r>
        <w:rPr>
          <w:rFonts w:ascii="Times New Roman" w:hAnsi="Times New Roman"/>
          <w:caps w:val="false"/>
          <w:smallCaps w:val="false"/>
          <w:sz w:val="20"/>
          <w:u w:val="single"/>
        </w:rPr>
        <w:t>Tax Treatment</w:t>
      </w:r>
      <w:r>
        <w:rPr>
          <w:rFonts w:ascii="Times New Roman" w:hAnsi="Times New Roman"/>
          <w:caps w:val="false"/>
          <w:smallCaps w:val="false"/>
          <w:sz w:val="20"/>
        </w:rPr>
        <w:t>. In accordance with Section 2.01(d) of the Amended Financing Agreement, the parties hereto agree that (i) the Warrants will be treated as common stock of the Company for U.S. federal income tax purposes and (ii) no party hereto shall take a position contrary to the foregoing on any tax return unless required by an applicable change in law after the Effective Date or the good faith resolution of a tax audit or other tax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9.2    </w:t>
      </w:r>
      <w:r>
        <w:rPr>
          <w:rFonts w:ascii="Times New Roman" w:hAnsi="Times New Roman"/>
          <w:caps w:val="false"/>
          <w:smallCaps w:val="false"/>
          <w:sz w:val="20"/>
          <w:u w:val="single"/>
        </w:rPr>
        <w:t>Withholding</w:t>
      </w:r>
      <w:r>
        <w:rPr>
          <w:rFonts w:ascii="Times New Roman" w:hAnsi="Times New Roman"/>
          <w:caps w:val="false"/>
          <w:smallCaps w:val="false"/>
          <w:sz w:val="20"/>
        </w:rPr>
        <w:t>. Each Holder agrees to deliver to the Company a duly completed and executed U.S. Internal Revenue Service Form W-9 (or any successor thereof) or an applicable U.S. Internal Revenue Service Form W-8 (or any successor thereof) with respect to such Holder (i) on or before the Issue Date, (ii) upon reasonable request by the Company and (iii) promptly upon learning that any such tax form previously provided by a Holder has become obsolete. The Company (or the applicable withholding agent) shall be entitled to withhold from any actual or deemed distributions with respect to Warrants or any payment in redemption of Warrants, in each case as determined for applicable tax purposes, any applicable withholding taxes and any such withheld amounts shall be treated as paid to the applicable payee for all purposes of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10.          </w:t>
      </w:r>
      <w:r>
        <w:rPr>
          <w:rFonts w:ascii="Times New Roman" w:hAnsi="Times New Roman"/>
          <w:b/>
          <w:i/>
          <w:caps w:val="false"/>
          <w:smallCaps w:val="false"/>
          <w:sz w:val="20"/>
        </w:rPr>
        <w:t>No Rights as Stockholder until Exercise</w:t>
      </w:r>
      <w:r>
        <w:rPr>
          <w:rFonts w:ascii="Times New Roman" w:hAnsi="Times New Roman"/>
          <w:caps w:val="false"/>
          <w:smallCaps w:val="false"/>
          <w:sz w:val="20"/>
        </w:rPr>
        <w:t>. Except as otherwise provided herein, this Warrant does not entitle the Holder to any of the rights as a stockholder of the Company prior to the exercise hereof, including, without limitation, the right to receive dividends or other distributions, exercise any rights to vote or to consent or to receive notice as stockholders in respect of the meetings of stockholders or the election of directors of the Company or any other matter. No provision hereof and no mere enumeration herein of the rights or privileges of the Holder shall give rise to any liability of the Holder for the Exercise Price hereunder or as a stockholder of the Company, whether such liability is asserted by the Company or by creditors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11.          </w:t>
      </w:r>
      <w:r>
        <w:rPr>
          <w:rFonts w:ascii="Times New Roman" w:hAnsi="Times New Roman"/>
          <w:b/>
          <w:i/>
          <w:caps w:val="false"/>
          <w:smallCaps w:val="false"/>
          <w:sz w:val="20"/>
        </w:rPr>
        <w:t>Successors and Assigns</w:t>
      </w:r>
      <w:r>
        <w:rPr>
          <w:rFonts w:ascii="Times New Roman" w:hAnsi="Times New Roman"/>
          <w:caps w:val="false"/>
          <w:smallCaps w:val="false"/>
          <w:sz w:val="20"/>
        </w:rPr>
        <w:t>. Subject to the transfer conditions referred to in the legend on the Warrant, the Warrant and all rights hereunder are transferable, in whole or in part, by the Holder, upon surrender of this Warrant to the Company; provided, however, that the Company may require, as a condition thereto, the payment by the Holder of a sum sufficient to reimburse the Company for any transfer tax incidental thereto. Upon such compliance, surrender and delivery, the Company shall execute and deliver a new Warrant or Warrants in the name of the assignee or assignees and in the denominations specified in such instrument of assignment, and shall issue to the assignor a new Warrant evidencing the portion of this Warrant, if any, not so assigned and this Warrant shall promptly be cancelled. The terms and provisions of this Warrant shall inure to the benefit of, and be binding upon, the Company and the Holder and their respective successors and permitted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b/>
          <w:i/>
          <w:caps w:val="false"/>
          <w:smallCaps w:val="false"/>
          <w:sz w:val="20"/>
        </w:rPr>
        <w:t>Governing Law</w:t>
      </w:r>
      <w:r>
        <w:rPr>
          <w:rFonts w:ascii="Times New Roman" w:hAnsi="Times New Roman"/>
          <w:caps w:val="false"/>
          <w:smallCaps w:val="false"/>
          <w:sz w:val="20"/>
        </w:rPr>
        <w:t>. This Warrant shall be governed by and construed in accordance with the laws of the State of Delaware, without giving effect to conflict of law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13.        </w:t>
      </w:r>
      <w:r>
        <w:rPr>
          <w:rFonts w:ascii="Times New Roman" w:hAnsi="Times New Roman"/>
          <w:b/>
          <w:i/>
          <w:caps w:val="false"/>
          <w:smallCaps w:val="false"/>
          <w:sz w:val="20"/>
        </w:rPr>
        <w:t>Severability</w:t>
      </w:r>
      <w:r>
        <w:rPr>
          <w:rFonts w:ascii="Times New Roman" w:hAnsi="Times New Roman"/>
          <w:caps w:val="false"/>
          <w:smallCaps w:val="false"/>
          <w:sz w:val="20"/>
        </w:rPr>
        <w:t>. In the event that one or more of the provisions of this Warrant shall for any reason be held to be invalid, illegal or unenforceable in any respect, such invalidity, illegality or unenforceability shall not affect any other provision of this Warrant, but this Warrant shall be construed as if such invalid, illegal or unenforceable provision had never been contained herein.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14.          </w:t>
      </w:r>
      <w:r>
        <w:rPr>
          <w:rFonts w:ascii="Times New Roman" w:hAnsi="Times New Roman"/>
          <w:b/>
          <w:i/>
          <w:caps w:val="false"/>
          <w:smallCaps w:val="false"/>
          <w:sz w:val="20"/>
        </w:rPr>
        <w:t>Change or Waiver</w:t>
      </w:r>
      <w:r>
        <w:rPr>
          <w:rFonts w:ascii="Times New Roman" w:hAnsi="Times New Roman"/>
          <w:caps w:val="false"/>
          <w:smallCaps w:val="false"/>
          <w:sz w:val="20"/>
        </w:rPr>
        <w:t>. Any term of this Warrant may be changed or waived only by an instrument in writing signed by the party against which enforcement is sought.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15.          </w:t>
      </w:r>
      <w:r>
        <w:rPr>
          <w:rFonts w:ascii="Times New Roman" w:hAnsi="Times New Roman"/>
          <w:b/>
          <w:i/>
          <w:caps w:val="false"/>
          <w:smallCaps w:val="false"/>
          <w:sz w:val="20"/>
        </w:rPr>
        <w:t>Headings</w:t>
      </w:r>
      <w:r>
        <w:rPr>
          <w:rFonts w:ascii="Times New Roman" w:hAnsi="Times New Roman"/>
          <w:caps w:val="false"/>
          <w:smallCaps w:val="false"/>
          <w:sz w:val="20"/>
        </w:rPr>
        <w:t>. The headings in this Warrant are for purposes of reference only and shall not limit or otherwise affect the meaning of any provision of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16.          </w:t>
      </w:r>
      <w:r>
        <w:rPr>
          <w:rFonts w:ascii="Times New Roman" w:hAnsi="Times New Roman"/>
          <w:b/>
          <w:i/>
          <w:caps w:val="false"/>
          <w:smallCaps w:val="false"/>
          <w:sz w:val="20"/>
        </w:rPr>
        <w:t>Counterparts</w:t>
      </w:r>
      <w:r>
        <w:rPr>
          <w:rFonts w:ascii="Times New Roman" w:hAnsi="Times New Roman"/>
          <w:caps w:val="false"/>
          <w:smallCaps w:val="false"/>
          <w:sz w:val="20"/>
        </w:rPr>
        <w:t>. This Warrant may be executed in any number of original or facsimile counterparts and each of such counterparts shall for all purposes be deemed to be an original, and all such counterparts shall together constitute but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17.          </w:t>
      </w:r>
      <w:r>
        <w:rPr>
          <w:rFonts w:ascii="Times New Roman" w:hAnsi="Times New Roman"/>
          <w:b/>
          <w:i/>
          <w:caps w:val="false"/>
          <w:smallCaps w:val="false"/>
          <w:sz w:val="20"/>
        </w:rPr>
        <w:t>Remedies</w:t>
      </w:r>
      <w:r>
        <w:rPr>
          <w:rFonts w:ascii="Times New Roman" w:hAnsi="Times New Roman"/>
          <w:caps w:val="false"/>
          <w:smallCaps w:val="false"/>
          <w:sz w:val="20"/>
        </w:rPr>
        <w:t>. The remedies provided in this Warrant shall be cumulative and in addition to all other remedies available under this Warrant, at law or in equity (including a decree of specific performance and/or other injunctive relief), and nothing herein shall limit the right of the parties to pursue actual damages for any failure by the other party to comply with the terms of this Warrant. The parties acknowledge that a breach or threatened breach by it of its obligations hereunder would give rise to irreparable harm to the other party, and monetary damages for any such breach would not be an adequate remedy. The parties therefore agree that, in the event of any such breach or threatened breach, the other party shall be entitled, in addition to all other available remedies, to equitable relief, including an injunction restraining any breach, specific performance, and any other relief that may be available from a court of competent jurisdiction, without the necessity of showing economic loss and without any bond or other security being required. In the event of any dispute between the parties concerning the terms and provisions of this Warrant, the party prevailing in such dispute shall be entitled to collect from the other party all costs incurred in such dispute, including reasonable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18.          </w:t>
      </w:r>
      <w:r>
        <w:rPr>
          <w:rFonts w:ascii="Times New Roman" w:hAnsi="Times New Roman"/>
          <w:b/>
          <w:i/>
          <w:caps w:val="false"/>
          <w:smallCaps w:val="false"/>
          <w:sz w:val="20"/>
        </w:rPr>
        <w:t>No Inconsistent Agreements</w:t>
      </w:r>
      <w:r>
        <w:rPr>
          <w:rFonts w:ascii="Times New Roman" w:hAnsi="Times New Roman"/>
          <w:caps w:val="false"/>
          <w:smallCaps w:val="false"/>
          <w:sz w:val="20"/>
        </w:rPr>
        <w:t>. The Company shall not, on or after the date hereof, enter into any agreement with respect to its securities which conflicts with the rights granted to the Holder hereunder. The Company represents and warrants to the Holder that the rights granted hereunder do not in any way conflict with the rights granted to holders of the Company’s securities under any other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the parties have each caused this Warrant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409" w:type="dxa"/>
        <w:jc w:val="left"/>
        <w:tblInd w:w="0" w:type="dxa"/>
        <w:tblLayout w:type="fixed"/>
        <w:tblCellMar>
          <w:top w:w="0" w:type="dxa"/>
          <w:left w:w="0" w:type="dxa"/>
          <w:bottom w:w="0" w:type="dxa"/>
          <w:right w:w="0" w:type="dxa"/>
        </w:tblCellMar>
      </w:tblPr>
      <w:tblGrid>
        <w:gridCol w:w="60"/>
        <w:gridCol w:w="1140"/>
        <w:gridCol w:w="2209"/>
      </w:tblGrid>
      <w:tr>
        <w:trPr/>
        <w:tc>
          <w:tcPr>
            <w:tcW w:w="60"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b/>
              </w:rPr>
            </w:pPr>
            <w:r>
              <w:rPr>
                <w:b/>
              </w:rPr>
              <w:t>ACCURAY INCORPORATED</w:t>
            </w:r>
          </w:p>
        </w:tc>
      </w:tr>
      <w:tr>
        <w:trPr/>
        <w:tc>
          <w:tcPr>
            <w:tcW w:w="6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20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20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By:</w:t>
            </w:r>
          </w:p>
        </w:tc>
        <w:tc>
          <w:tcPr>
            <w:tcW w:w="220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209" w:type="dxa"/>
            <w:tcBorders/>
            <w:vAlign w:val="center"/>
          </w:tcPr>
          <w:p>
            <w:pPr>
              <w:pStyle w:val="TableContents"/>
              <w:bidi w:val="0"/>
              <w:spacing w:before="0" w:after="283"/>
              <w:jc w:val="left"/>
              <w:rPr/>
            </w:pPr>
            <w:r>
              <w:rPr/>
              <w:t>Name:</w:t>
            </w:r>
          </w:p>
        </w:tc>
      </w:tr>
      <w:tr>
        <w:trPr/>
        <w:tc>
          <w:tcPr>
            <w:tcW w:w="6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209" w:type="dxa"/>
            <w:tcBorders/>
            <w:vAlign w:val="center"/>
          </w:tcPr>
          <w:p>
            <w:pPr>
              <w:pStyle w:val="TableContents"/>
              <w:bidi w:val="0"/>
              <w:spacing w:before="0" w:after="283"/>
              <w:jc w:val="left"/>
              <w:rPr/>
            </w:pPr>
            <w:r>
              <w:rPr/>
              <w:t>Title:</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Penny Warrant]</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279" w:type="dxa"/>
        <w:jc w:val="left"/>
        <w:tblInd w:w="0" w:type="dxa"/>
        <w:tblLayout w:type="fixed"/>
        <w:tblCellMar>
          <w:top w:w="0" w:type="dxa"/>
          <w:left w:w="0" w:type="dxa"/>
          <w:bottom w:w="0" w:type="dxa"/>
          <w:right w:w="0" w:type="dxa"/>
        </w:tblCellMar>
      </w:tblPr>
      <w:tblGrid>
        <w:gridCol w:w="60"/>
        <w:gridCol w:w="415"/>
        <w:gridCol w:w="804"/>
      </w:tblGrid>
      <w:tr>
        <w:trPr/>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left"/>
              <w:rPr>
                <w:b/>
              </w:rPr>
            </w:pPr>
            <w:r>
              <w:rPr>
                <w:b/>
              </w:rPr>
              <w:t>[HOLDER]</w:t>
            </w:r>
          </w:p>
        </w:tc>
      </w:tr>
      <w:tr>
        <w:trPr/>
        <w:tc>
          <w:tcPr>
            <w:tcW w:w="6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By:</w:t>
            </w:r>
          </w:p>
        </w:tc>
        <w:tc>
          <w:tcPr>
            <w:tcW w:w="80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Name:</w:t>
            </w:r>
          </w:p>
        </w:tc>
      </w:tr>
      <w:tr>
        <w:trPr/>
        <w:tc>
          <w:tcPr>
            <w:tcW w:w="6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Penny Warrant]</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u w:val="single"/>
        </w:rPr>
        <w:t>EXHIBIT A TO</w:t>
      </w:r>
      <w:r>
        <w:rPr>
          <w:rFonts w:ascii="Times New Roman" w:hAnsi="Times New Roman"/>
          <w:caps w:val="false"/>
          <w:smallCaps w:val="false"/>
          <w:sz w:val="20"/>
        </w:rPr>
        <w:br/>
      </w:r>
      <w:r>
        <w:rPr>
          <w:rFonts w:ascii="Times New Roman" w:hAnsi="Times New Roman"/>
          <w:caps w:val="false"/>
          <w:smallCaps w:val="false"/>
          <w:sz w:val="20"/>
          <w:u w:val="single"/>
        </w:rPr>
        <w:t>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PURCHASE FORM</w:t>
      </w:r>
    </w:p>
    <w:p>
      <w:pPr>
        <w:pStyle w:val="TextBody"/>
        <w:bidi w:val="0"/>
        <w:spacing w:before="0" w:after="0"/>
        <w:ind w:left="0" w:right="0" w:hanging="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4820"/>
        <w:gridCol w:w="2690"/>
      </w:tblGrid>
      <w:tr>
        <w:trPr/>
        <w:tc>
          <w:tcPr>
            <w:tcW w:w="4820" w:type="dxa"/>
            <w:tcBorders/>
            <w:vAlign w:val="center"/>
          </w:tcPr>
          <w:p>
            <w:pPr>
              <w:pStyle w:val="TableContents"/>
              <w:bidi w:val="0"/>
              <w:spacing w:before="0" w:after="283"/>
              <w:jc w:val="left"/>
              <w:rPr/>
            </w:pPr>
            <w:r>
              <w:rPr/>
              <w:t>To: Accuray Incorporated, a Delaware corporation</w:t>
            </w:r>
          </w:p>
        </w:tc>
        <w:tc>
          <w:tcPr>
            <w:tcW w:w="2690" w:type="dxa"/>
            <w:tcBorders/>
            <w:vAlign w:val="center"/>
          </w:tcPr>
          <w:p>
            <w:pPr>
              <w:pStyle w:val="TableContents"/>
              <w:bidi w:val="0"/>
              <w:spacing w:before="0" w:after="283"/>
              <w:jc w:val="right"/>
              <w:rPr/>
            </w:pPr>
            <w:r>
              <w:rPr/>
              <w:t>Dated: ________, 20 _____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undersigned hereby irrevocably elects to purchase _________ shares of Common Stock of Accuray Incorporated, a Delaware corporation, pursuant to the purchase provisions of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of the attached Warrant and herewith makes payment of $___________, representing the full purchase price for such shares at the price per share provided for in the Warrant.</w:t>
      </w:r>
    </w:p>
    <w:p>
      <w:pPr>
        <w:pStyle w:val="TextBody"/>
        <w:bidi w:val="0"/>
        <w:spacing w:before="0" w:after="0"/>
        <w:ind w:left="0" w:right="0" w:hanging="0"/>
        <w:jc w:val="both"/>
        <w:rPr>
          <w:caps w:val="false"/>
          <w:smallCaps w:val="false"/>
        </w:rPr>
      </w:pPr>
      <w:r>
        <w:rPr>
          <w:caps w:val="false"/>
          <w:smallCaps w:val="false"/>
        </w:rPr>
        <w:t> </w:t>
      </w:r>
    </w:p>
    <w:tbl>
      <w:tblPr>
        <w:tblW w:w="1160" w:type="dxa"/>
        <w:jc w:val="left"/>
        <w:tblInd w:w="0" w:type="dxa"/>
        <w:tblLayout w:type="fixed"/>
        <w:tblCellMar>
          <w:top w:w="0" w:type="dxa"/>
          <w:left w:w="0" w:type="dxa"/>
          <w:bottom w:w="0" w:type="dxa"/>
          <w:right w:w="0" w:type="dxa"/>
        </w:tblCellMar>
      </w:tblPr>
      <w:tblGrid>
        <w:gridCol w:w="60"/>
        <w:gridCol w:w="980"/>
        <w:gridCol w:w="60"/>
        <w:gridCol w:w="60"/>
      </w:tblGrid>
      <w:tr>
        <w:trPr/>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Signature:</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Address:</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u w:val="single"/>
        </w:rPr>
        <w:t>EXHIBIT B TO</w:t>
      </w:r>
      <w:r>
        <w:rPr>
          <w:rFonts w:ascii="Times New Roman" w:hAnsi="Times New Roman"/>
          <w:caps w:val="false"/>
          <w:smallCaps w:val="false"/>
          <w:sz w:val="20"/>
        </w:rPr>
        <w:br/>
      </w:r>
      <w:r>
        <w:rPr>
          <w:rFonts w:ascii="Times New Roman" w:hAnsi="Times New Roman"/>
          <w:caps w:val="false"/>
          <w:smallCaps w:val="false"/>
          <w:sz w:val="20"/>
          <w:u w:val="single"/>
        </w:rPr>
        <w:t>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NOTICE OF EXERCISE BY NET SHARE SETTLEMENT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Accuray Incorporated, a Delaware corporation            Dated: ________, 20 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undersigned hereby irrevocably elects to exchange the Warrant for a total of </w:t>
      </w:r>
      <w:r>
        <w:rPr>
          <w:rFonts w:ascii="Times New Roman" w:hAnsi="Times New Roman"/>
          <w:caps w:val="false"/>
          <w:smallCaps w:val="false"/>
          <w:sz w:val="20"/>
          <w:u w:val="single"/>
        </w:rPr>
        <w:t>                  </w:t>
      </w:r>
      <w:r>
        <w:rPr>
          <w:rFonts w:ascii="Times New Roman" w:hAnsi="Times New Roman"/>
          <w:caps w:val="false"/>
          <w:smallCaps w:val="false"/>
          <w:sz w:val="20"/>
        </w:rPr>
        <w:t xml:space="preserve"> shares of Common Stock of Accuray Incorporated, a Delaware corporation, pursuant to the Exercise by Net Share Settlement provisions of </w:t>
      </w:r>
      <w:r>
        <w:rPr>
          <w:rFonts w:ascii="Times New Roman" w:hAnsi="Times New Roman"/>
          <w:caps w:val="false"/>
          <w:smallCaps w:val="false"/>
          <w:sz w:val="20"/>
          <w:u w:val="single"/>
        </w:rPr>
        <w:t>Section 1.3</w:t>
      </w:r>
      <w:r>
        <w:rPr>
          <w:rFonts w:ascii="Times New Roman" w:hAnsi="Times New Roman"/>
          <w:caps w:val="false"/>
          <w:smallCaps w:val="false"/>
          <w:sz w:val="20"/>
        </w:rPr>
        <w:t xml:space="preserve"> of the attached Warrant.</w:t>
      </w:r>
    </w:p>
    <w:p>
      <w:pPr>
        <w:pStyle w:val="TextBody"/>
        <w:bidi w:val="0"/>
        <w:spacing w:before="0" w:after="0"/>
        <w:ind w:left="0" w:right="0" w:hanging="0"/>
        <w:jc w:val="both"/>
        <w:rPr>
          <w:caps w:val="false"/>
          <w:smallCaps w:val="false"/>
        </w:rPr>
      </w:pPr>
      <w:r>
        <w:rPr>
          <w:caps w:val="false"/>
          <w:smallCaps w:val="false"/>
        </w:rPr>
        <w:t> </w:t>
      </w:r>
    </w:p>
    <w:tbl>
      <w:tblPr>
        <w:tblW w:w="1160" w:type="dxa"/>
        <w:jc w:val="left"/>
        <w:tblInd w:w="0" w:type="dxa"/>
        <w:tblLayout w:type="fixed"/>
        <w:tblCellMar>
          <w:top w:w="0" w:type="dxa"/>
          <w:left w:w="0" w:type="dxa"/>
          <w:bottom w:w="0" w:type="dxa"/>
          <w:right w:w="0" w:type="dxa"/>
        </w:tblCellMar>
      </w:tblPr>
      <w:tblGrid>
        <w:gridCol w:w="60"/>
        <w:gridCol w:w="980"/>
        <w:gridCol w:w="60"/>
        <w:gridCol w:w="60"/>
      </w:tblGrid>
      <w:tr>
        <w:trPr/>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Signature:</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Address:</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u w:val="single"/>
        </w:rPr>
        <w:t>EXHIBIT C TO</w:t>
      </w:r>
      <w:r>
        <w:rPr>
          <w:rFonts w:ascii="Times New Roman" w:hAnsi="Times New Roman"/>
          <w:caps w:val="false"/>
          <w:smallCaps w:val="false"/>
          <w:sz w:val="20"/>
        </w:rPr>
        <w:br/>
      </w:r>
      <w:r>
        <w:rPr>
          <w:rFonts w:ascii="Times New Roman" w:hAnsi="Times New Roman"/>
          <w:caps w:val="false"/>
          <w:smallCaps w:val="false"/>
          <w:sz w:val="20"/>
          <w:u w:val="single"/>
        </w:rPr>
        <w:t>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FORM OF RESTRICTIVE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THE SHARES OF COMMON STOCK REPRESENTED BY THIS CERTIFICATE HAVE NOT BEEN REGISTERED UNDER THE SECURITIES ACT OF 1933, AS AMENDED (THE </w:t>
      </w:r>
      <w:r>
        <w:rPr>
          <w:rFonts w:ascii="Times New Roman" w:hAnsi="Times New Roman"/>
          <w:caps w:val="false"/>
          <w:smallCaps w:val="false"/>
          <w:sz w:val="20"/>
        </w:rPr>
        <w:t>“</w:t>
      </w:r>
      <w:r>
        <w:rPr>
          <w:rFonts w:ascii="Times New Roman" w:hAnsi="Times New Roman"/>
          <w:b/>
          <w:caps w:val="false"/>
          <w:smallCaps w:val="false"/>
          <w:sz w:val="20"/>
        </w:rPr>
        <w:t>SECURITIES ACT</w:t>
      </w:r>
      <w:r>
        <w:rPr>
          <w:rFonts w:ascii="Times New Roman" w:hAnsi="Times New Roman"/>
          <w:caps w:val="false"/>
          <w:smallCaps w:val="false"/>
          <w:sz w:val="20"/>
        </w:rPr>
        <w:t>”</w:t>
      </w:r>
      <w:r>
        <w:rPr>
          <w:rFonts w:ascii="Times New Roman" w:hAnsi="Times New Roman"/>
          <w:b/>
          <w:caps w:val="false"/>
          <w:smallCaps w:val="false"/>
          <w:sz w:val="20"/>
        </w:rPr>
        <w:t>), OR ANY STATE OR BLUE SKY SECURITIES LAWS. THESE SHARES OF COMMON STOCK MAY NOT BE SOLD OR TRANSFERRED IN THE ABSENCE OF SUCH REGISTRATION OR AN EXEMPTION THEREFROM UNDER THE SECURITIES ACT OR APPLICABLE STATE SECURITIES OR BLUE SKY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u w:val="single"/>
        </w:rPr>
        <w:t>EXHIBIT D TO</w:t>
      </w:r>
      <w:r>
        <w:rPr>
          <w:rFonts w:ascii="Times New Roman" w:hAnsi="Times New Roman"/>
          <w:caps w:val="false"/>
          <w:smallCaps w:val="false"/>
          <w:sz w:val="20"/>
        </w:rPr>
        <w:br/>
      </w:r>
      <w:r>
        <w:rPr>
          <w:rFonts w:ascii="Times New Roman" w:hAnsi="Times New Roman"/>
          <w:caps w:val="false"/>
          <w:smallCaps w:val="false"/>
          <w:sz w:val="20"/>
          <w:u w:val="single"/>
        </w:rPr>
        <w:t>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ASSIGNMENT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VALUE RECEIVED, _____________________ (the “</w:t>
      </w:r>
      <w:r>
        <w:rPr>
          <w:rFonts w:ascii="Times New Roman" w:hAnsi="Times New Roman"/>
          <w:b/>
          <w:i/>
          <w:caps w:val="false"/>
          <w:smallCaps w:val="false"/>
          <w:sz w:val="20"/>
        </w:rPr>
        <w:t>Holder</w:t>
      </w:r>
      <w:r>
        <w:rPr>
          <w:rFonts w:ascii="Times New Roman" w:hAnsi="Times New Roman"/>
          <w:caps w:val="false"/>
          <w:smallCaps w:val="false"/>
          <w:sz w:val="20"/>
        </w:rPr>
        <w:t>”) hereby sells, assigns and transfers all of the rights of the undersigned under the attached Warrant with respect to the number of shares of stock covered thereby set forth below, unto:</w:t>
      </w:r>
    </w:p>
    <w:p>
      <w:pPr>
        <w:pStyle w:val="TextBody"/>
        <w:bidi w:val="0"/>
        <w:spacing w:before="0" w:after="0"/>
        <w:ind w:left="0" w:right="0" w:hanging="0"/>
        <w:jc w:val="both"/>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1775"/>
        <w:gridCol w:w="800"/>
        <w:gridCol w:w="1325"/>
      </w:tblGrid>
      <w:tr>
        <w:trPr/>
        <w:tc>
          <w:tcPr>
            <w:tcW w:w="1775" w:type="dxa"/>
            <w:tcBorders/>
            <w:vAlign w:val="center"/>
          </w:tcPr>
          <w:p>
            <w:pPr>
              <w:pStyle w:val="TableContents"/>
              <w:bidi w:val="0"/>
              <w:spacing w:before="0" w:after="283"/>
              <w:jc w:val="left"/>
              <w:rPr>
                <w:u w:val="single"/>
              </w:rPr>
            </w:pPr>
            <w:r>
              <w:rPr>
                <w:u w:val="single"/>
              </w:rPr>
              <w:t>Name of Assignee</w:t>
            </w:r>
          </w:p>
        </w:tc>
        <w:tc>
          <w:tcPr>
            <w:tcW w:w="800" w:type="dxa"/>
            <w:tcBorders/>
            <w:vAlign w:val="center"/>
          </w:tcPr>
          <w:p>
            <w:pPr>
              <w:pStyle w:val="TableContents"/>
              <w:bidi w:val="0"/>
              <w:spacing w:before="0" w:after="283"/>
              <w:jc w:val="center"/>
              <w:rPr>
                <w:u w:val="single"/>
              </w:rPr>
            </w:pPr>
            <w:r>
              <w:rPr>
                <w:u w:val="single"/>
              </w:rPr>
              <w:t>Address</w:t>
            </w:r>
          </w:p>
        </w:tc>
        <w:tc>
          <w:tcPr>
            <w:tcW w:w="1325" w:type="dxa"/>
            <w:tcBorders/>
            <w:vAlign w:val="center"/>
          </w:tcPr>
          <w:p>
            <w:pPr>
              <w:pStyle w:val="TableContents"/>
              <w:bidi w:val="0"/>
              <w:spacing w:before="0" w:after="283"/>
              <w:jc w:val="center"/>
              <w:rPr>
                <w:u w:val="single"/>
              </w:rPr>
            </w:pPr>
            <w:r>
              <w:rPr>
                <w:u w:val="single"/>
              </w:rPr>
              <w:t>No. of Shares</w:t>
            </w:r>
          </w:p>
        </w:tc>
      </w:tr>
      <w:tr>
        <w:trPr/>
        <w:tc>
          <w:tcPr>
            <w:tcW w:w="17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(the “</w:t>
            </w:r>
            <w:r>
              <w:rPr>
                <w:b/>
                <w:i/>
              </w:rPr>
              <w:t>Assignee</w:t>
            </w:r>
            <w:r>
              <w:rPr/>
              <w:t>”)</w:t>
            </w:r>
          </w:p>
        </w:tc>
        <w:tc>
          <w:tcPr>
            <w:tcW w:w="80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190" w:type="dxa"/>
        <w:jc w:val="left"/>
        <w:tblInd w:w="0" w:type="dxa"/>
        <w:tblLayout w:type="fixed"/>
        <w:tblCellMar>
          <w:top w:w="0" w:type="dxa"/>
          <w:left w:w="0" w:type="dxa"/>
          <w:bottom w:w="0" w:type="dxa"/>
          <w:right w:w="0" w:type="dxa"/>
        </w:tblCellMar>
      </w:tblPr>
      <w:tblGrid>
        <w:gridCol w:w="60"/>
        <w:gridCol w:w="1070"/>
        <w:gridCol w:w="60"/>
      </w:tblGrid>
      <w:tr>
        <w:trPr/>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b/>
              </w:rPr>
            </w:pPr>
            <w:r>
              <w:rPr>
                <w:b/>
              </w:rPr>
              <w:t>HOLDER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Dated: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Signature: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signing below, the Assignee acknowledges that it qualifies as an “accredited investor” as defined in Rule 501(a) promulgated under the Securities Act of 1933, as amended.</w:t>
      </w:r>
    </w:p>
    <w:p>
      <w:pPr>
        <w:pStyle w:val="TextBody"/>
        <w:bidi w:val="0"/>
        <w:spacing w:before="0" w:after="0"/>
        <w:ind w:left="0" w:right="0" w:hanging="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60"/>
        <w:gridCol w:w="1250"/>
        <w:gridCol w:w="60"/>
      </w:tblGrid>
      <w:tr>
        <w:trPr/>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b/>
              </w:rPr>
            </w:pPr>
            <w:r>
              <w:rPr>
                <w:b/>
              </w:rPr>
              <w:t>ASSIGNEE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Dated: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Signature: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u w:val="single"/>
        </w:rPr>
        <w:t>EXHIBIT E TO</w:t>
      </w:r>
      <w:r>
        <w:rPr>
          <w:rFonts w:ascii="Times New Roman" w:hAnsi="Times New Roman"/>
          <w:caps w:val="false"/>
          <w:smallCaps w:val="false"/>
          <w:sz w:val="20"/>
        </w:rPr>
        <w:br/>
      </w:r>
      <w:r>
        <w:rPr>
          <w:rFonts w:ascii="Times New Roman" w:hAnsi="Times New Roman"/>
          <w:caps w:val="false"/>
          <w:smallCaps w:val="false"/>
          <w:sz w:val="20"/>
          <w:u w:val="single"/>
        </w:rPr>
        <w:t>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copy of all notices provided to the Holder in accordance with the Warrant shall also be provided to the following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delivery of such copy shall not constitute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[Holder to provide contact info.]</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t> </w:t>
      </w:r>
    </w:p>
    <w:p>
      <w:pPr>
        <w:pStyle w:val="TextBody"/>
        <w:bidi w:val="0"/>
        <w:spacing w:before="0" w:after="0"/>
        <w:ind w:left="0" w:right="0" w:hanging="0"/>
        <w:jc w:val="right"/>
        <w:rPr>
          <w:rFonts w:ascii="Times New Roman;Times;serif" w:hAnsi="Times New Roman;Times;serif"/>
          <w:b/>
          <w:sz w:val="20"/>
        </w:rPr>
      </w:pPr>
      <w:bookmarkStart w:id="4" w:name="ex_995022.htm"/>
      <w:bookmarkStart w:id="5" w:name="ksex_995022"/>
      <w:bookmarkEnd w:id="4"/>
      <w:bookmarkEnd w:id="5"/>
      <w:r>
        <w:rPr>
          <w:rFonts w:ascii="Times New Roman;Times;serif" w:hAnsi="Times New Roman;Times;serif"/>
          <w:b/>
          <w:sz w:val="20"/>
        </w:rPr>
        <w:t>Exhibit 10.1</w:t>
      </w:r>
      <w:r>
        <w:br w:type="page"/>
      </w:r>
    </w:p>
    <w:p>
      <w:pPr>
        <w:pStyle w:val="TextBody"/>
        <w:bidi w:val="0"/>
        <w:spacing w:before="0" w:after="0"/>
        <w:ind w:left="0" w:right="0" w:hanging="0"/>
        <w:jc w:val="right"/>
        <w:rPr/>
      </w:pPr>
      <w:r>
        <w:rPr/>
        <w:t> </w:t>
      </w:r>
    </w:p>
    <w:p>
      <w:pPr>
        <w:pStyle w:val="TextBody"/>
        <w:bidi w:val="0"/>
        <w:spacing w:before="0" w:after="0"/>
        <w:ind w:left="0" w:right="0" w:hanging="0"/>
        <w:jc w:val="right"/>
        <w:rPr>
          <w:rFonts w:ascii="Times New Roman" w:hAnsi="Times New Roman"/>
          <w:i/>
          <w:caps w:val="false"/>
          <w:smallCaps w:val="false"/>
          <w:sz w:val="20"/>
        </w:rPr>
      </w:pPr>
      <w:r>
        <w:rPr>
          <w:rFonts w:ascii="Times New Roman" w:hAnsi="Times New Roman"/>
          <w:i/>
          <w:caps w:val="false"/>
          <w:smallCaps w:val="false"/>
          <w:sz w:val="20"/>
        </w:rPr>
        <w:t>Execution Version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SECURITIES PURCHASE AGREEMENT (this “</w:t>
      </w:r>
      <w:r>
        <w:rPr>
          <w:rFonts w:ascii="Times New Roman" w:hAnsi="Times New Roman"/>
          <w:b/>
          <w:caps w:val="false"/>
          <w:smallCaps w:val="false"/>
          <w:sz w:val="20"/>
        </w:rPr>
        <w:t>Agreement</w:t>
      </w:r>
      <w:r>
        <w:rPr>
          <w:rFonts w:ascii="Times New Roman" w:hAnsi="Times New Roman"/>
          <w:caps w:val="false"/>
          <w:smallCaps w:val="false"/>
          <w:sz w:val="20"/>
        </w:rPr>
        <w:t>”), dated as of July 29, 2026, is by and among Accuray Incorporated, a Delaware corporation (the “</w:t>
      </w:r>
      <w:r>
        <w:rPr>
          <w:rFonts w:ascii="Times New Roman" w:hAnsi="Times New Roman"/>
          <w:b/>
          <w:caps w:val="false"/>
          <w:smallCaps w:val="false"/>
          <w:sz w:val="20"/>
        </w:rPr>
        <w:t>Company</w:t>
      </w:r>
      <w:r>
        <w:rPr>
          <w:rFonts w:ascii="Times New Roman" w:hAnsi="Times New Roman"/>
          <w:caps w:val="false"/>
          <w:smallCaps w:val="false"/>
          <w:sz w:val="20"/>
        </w:rPr>
        <w:t>”), and the investors identified on the Schedule of Investors attached hereto on Exhibit B (each, an “</w:t>
      </w:r>
      <w:r>
        <w:rPr>
          <w:rFonts w:ascii="Times New Roman" w:hAnsi="Times New Roman"/>
          <w:b/>
          <w:caps w:val="false"/>
          <w:smallCaps w:val="false"/>
          <w:sz w:val="20"/>
        </w:rPr>
        <w:t>Investor</w:t>
      </w:r>
      <w:r>
        <w:rPr>
          <w:rFonts w:ascii="Times New Roman" w:hAnsi="Times New Roman"/>
          <w:caps w:val="false"/>
          <w:smallCaps w:val="false"/>
          <w:sz w:val="20"/>
        </w:rPr>
        <w:t>” and, collectively, the “</w:t>
      </w:r>
      <w:r>
        <w:rPr>
          <w:rFonts w:ascii="Times New Roman" w:hAnsi="Times New Roman"/>
          <w:b/>
          <w:caps w:val="false"/>
          <w:smallCaps w:val="false"/>
          <w:sz w:val="20"/>
        </w:rPr>
        <w:t>Investors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The Company and the Investors are parties to, or lenders under, that certain Financing Agreement, dated as of June 6, 2025, as amended from time to time (the “</w:t>
      </w:r>
      <w:r>
        <w:rPr>
          <w:rFonts w:ascii="Times New Roman" w:hAnsi="Times New Roman"/>
          <w:b/>
          <w:caps w:val="false"/>
          <w:smallCaps w:val="false"/>
          <w:sz w:val="20"/>
        </w:rPr>
        <w:t>Financing Agreement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The Company desires to issue and sell to the Investors, and the Investors desire to purchase from the Company, shares of a newly authorized series of convertible preferred stock of the Company designated as Series A Convertible Preferred Stock of the Company, par value $0.001 per share (the “</w:t>
      </w:r>
      <w:r>
        <w:rPr>
          <w:rFonts w:ascii="Times New Roman" w:hAnsi="Times New Roman"/>
          <w:b/>
          <w:caps w:val="false"/>
          <w:smallCaps w:val="false"/>
          <w:sz w:val="20"/>
        </w:rPr>
        <w:t>Convertible Preferred Stock</w:t>
      </w:r>
      <w:r>
        <w:rPr>
          <w:rFonts w:ascii="Times New Roman" w:hAnsi="Times New Roman"/>
          <w:caps w:val="false"/>
          <w:smallCaps w:val="false"/>
          <w:sz w:val="20"/>
        </w:rPr>
        <w:t>” and the shares thereof, the “</w:t>
      </w:r>
      <w:r>
        <w:rPr>
          <w:rFonts w:ascii="Times New Roman" w:hAnsi="Times New Roman"/>
          <w:b/>
          <w:caps w:val="false"/>
          <w:smallCaps w:val="false"/>
          <w:sz w:val="20"/>
        </w:rPr>
        <w:t>Preferred Shares</w:t>
      </w:r>
      <w:r>
        <w:rPr>
          <w:rFonts w:ascii="Times New Roman" w:hAnsi="Times New Roman"/>
          <w:caps w:val="false"/>
          <w:smallCaps w:val="false"/>
          <w:sz w:val="20"/>
        </w:rPr>
        <w:t>”), having the rights, preferences and privileges set forth in the Certificate of Designations, Preferences and Rights of Series A Convertible Preferred Stock of the Company, in the form attached hereto as Exhibit A (the “</w:t>
      </w:r>
      <w:r>
        <w:rPr>
          <w:rFonts w:ascii="Times New Roman" w:hAnsi="Times New Roman"/>
          <w:b/>
          <w:caps w:val="false"/>
          <w:smallCaps w:val="false"/>
          <w:sz w:val="20"/>
        </w:rPr>
        <w:t>Certificate of Designation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The aggregate consideration for the Preferred Shares shall be $55,000,000, consisting of (i) $15,000,000 in cash (the “</w:t>
      </w:r>
      <w:r>
        <w:rPr>
          <w:rFonts w:ascii="Times New Roman" w:hAnsi="Times New Roman"/>
          <w:b/>
          <w:caps w:val="false"/>
          <w:smallCaps w:val="false"/>
          <w:sz w:val="20"/>
        </w:rPr>
        <w:t>Cash Investment</w:t>
      </w:r>
      <w:r>
        <w:rPr>
          <w:rFonts w:ascii="Times New Roman" w:hAnsi="Times New Roman"/>
          <w:caps w:val="false"/>
          <w:smallCaps w:val="false"/>
          <w:sz w:val="20"/>
        </w:rPr>
        <w:t>”) and (ii) $40,000,000 in outstanding debt under the Financing Agreement to be exchanged for Preferred Shares (the “</w:t>
      </w:r>
      <w:r>
        <w:rPr>
          <w:rFonts w:ascii="Times New Roman" w:hAnsi="Times New Roman"/>
          <w:b/>
          <w:caps w:val="false"/>
          <w:smallCaps w:val="false"/>
          <w:sz w:val="20"/>
        </w:rPr>
        <w:t>Converted Debt</w:t>
      </w:r>
      <w:r>
        <w:rPr>
          <w:rFonts w:ascii="Times New Roman" w:hAnsi="Times New Roman"/>
          <w:caps w:val="false"/>
          <w:smallCaps w:val="false"/>
          <w:sz w:val="20"/>
        </w:rPr>
        <w:t>”) at the closing of the purchase and sale of the Preferred Shares (the “</w:t>
      </w:r>
      <w:r>
        <w:rPr>
          <w:rFonts w:ascii="Times New Roman" w:hAnsi="Times New Roman"/>
          <w:b/>
          <w:caps w:val="false"/>
          <w:smallCaps w:val="false"/>
          <w:sz w:val="20"/>
        </w:rPr>
        <w:t>Closing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The Cash Investment shall be due and payable by the Investors to the Company upon the signing of this Agreement. If this Agreement is terminated as a result of the Company’s failure to obtain the Stockholder Approval, then the Company’s outstanding debt under the Financing Agreement shall automatically increase by the amount of the Cash Investment, as more particularly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           In connection with the transactions contemplated hereby, substantially concurrently with the execution and delivery of this Agreement, the Financing Agreement shall be amended in accordance with an amendment in substantially the form attached hereto as Exhibit D (the “</w:t>
      </w:r>
      <w:r>
        <w:rPr>
          <w:rFonts w:ascii="Times New Roman" w:hAnsi="Times New Roman"/>
          <w:b/>
          <w:caps w:val="false"/>
          <w:smallCaps w:val="false"/>
          <w:sz w:val="20"/>
        </w:rPr>
        <w:t>Financing Agreement Amendment</w:t>
      </w:r>
      <w:r>
        <w:rPr>
          <w:rFonts w:ascii="Times New Roman" w:hAnsi="Times New Roman"/>
          <w:caps w:val="false"/>
          <w:smallCaps w:val="false"/>
          <w:sz w:val="20"/>
        </w:rPr>
        <w:t>”), and the Company shall issue to the Investors penny warrants in the form attached hereto as Exhibit C (the “</w:t>
      </w:r>
      <w:r>
        <w:rPr>
          <w:rFonts w:ascii="Times New Roman" w:hAnsi="Times New Roman"/>
          <w:b/>
          <w:caps w:val="false"/>
          <w:smallCaps w:val="false"/>
          <w:sz w:val="20"/>
        </w:rPr>
        <w:t>New Penny Warrants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        The Company and each Investor, severally and not jointly, are executing and delivering this Agreement in reliance upon the exemption from securities registration afforded by Section 4(a)(2) of the Securities Act of 1933, as amended (the “</w:t>
      </w:r>
      <w:r>
        <w:rPr>
          <w:rFonts w:ascii="Times New Roman" w:hAnsi="Times New Roman"/>
          <w:b/>
          <w:caps w:val="false"/>
          <w:smallCaps w:val="false"/>
          <w:sz w:val="20"/>
        </w:rPr>
        <w:t>Securities Act</w:t>
      </w:r>
      <w:r>
        <w:rPr>
          <w:rFonts w:ascii="Times New Roman" w:hAnsi="Times New Roman"/>
          <w:caps w:val="false"/>
          <w:smallCaps w:val="false"/>
          <w:sz w:val="20"/>
        </w:rPr>
        <w:t>”), and Rule 506(b) of Regulation D (“</w:t>
      </w:r>
      <w:r>
        <w:rPr>
          <w:rFonts w:ascii="Times New Roman" w:hAnsi="Times New Roman"/>
          <w:b/>
          <w:caps w:val="false"/>
          <w:smallCaps w:val="false"/>
          <w:sz w:val="20"/>
        </w:rPr>
        <w:t>Regulation D</w:t>
      </w:r>
      <w:r>
        <w:rPr>
          <w:rFonts w:ascii="Times New Roman" w:hAnsi="Times New Roman"/>
          <w:caps w:val="false"/>
          <w:smallCaps w:val="false"/>
          <w:sz w:val="20"/>
        </w:rPr>
        <w:t>”) as promulgated by the United States Securities and Exchange Commission (the “</w:t>
      </w:r>
      <w:r>
        <w:rPr>
          <w:rFonts w:ascii="Times New Roman" w:hAnsi="Times New Roman"/>
          <w:b/>
          <w:caps w:val="false"/>
          <w:smallCaps w:val="false"/>
          <w:sz w:val="20"/>
        </w:rPr>
        <w:t>SEC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          The Preferred Shares, the Conversion Shares, the New Penny Warrants and the New Penny Warrant Shares are collectively referred to herein as the “</w:t>
      </w:r>
      <w:r>
        <w:rPr>
          <w:rFonts w:ascii="Times New Roman" w:hAnsi="Times New Roman"/>
          <w:b/>
          <w:caps w:val="false"/>
          <w:smallCaps w:val="false"/>
          <w:sz w:val="20"/>
        </w:rPr>
        <w:t>Securities</w:t>
      </w:r>
      <w:r>
        <w:rPr>
          <w:rFonts w:ascii="Times New Roman" w:hAnsi="Times New Roman"/>
          <w:caps w:val="false"/>
          <w:smallCaps w:val="false"/>
          <w:sz w:val="20"/>
        </w:rPr>
        <w:t>.” The “</w:t>
      </w:r>
      <w:r>
        <w:rPr>
          <w:rFonts w:ascii="Times New Roman" w:hAnsi="Times New Roman"/>
          <w:b/>
          <w:caps w:val="false"/>
          <w:smallCaps w:val="false"/>
          <w:sz w:val="20"/>
        </w:rPr>
        <w:t>Conversion Shares</w:t>
      </w:r>
      <w:r>
        <w:rPr>
          <w:rFonts w:ascii="Times New Roman" w:hAnsi="Times New Roman"/>
          <w:caps w:val="false"/>
          <w:smallCaps w:val="false"/>
          <w:sz w:val="20"/>
        </w:rPr>
        <w:t>” mean the shares of Common Stock issuable upon conversion of the Preferred Shares and the “</w:t>
      </w:r>
      <w:r>
        <w:rPr>
          <w:rFonts w:ascii="Times New Roman" w:hAnsi="Times New Roman"/>
          <w:b/>
          <w:caps w:val="false"/>
          <w:smallCaps w:val="false"/>
          <w:sz w:val="20"/>
        </w:rPr>
        <w:t>New Penny Warrant Shares</w:t>
      </w:r>
      <w:r>
        <w:rPr>
          <w:rFonts w:ascii="Times New Roman" w:hAnsi="Times New Roman"/>
          <w:caps w:val="false"/>
          <w:smallCaps w:val="false"/>
          <w:sz w:val="20"/>
        </w:rPr>
        <w:t>” mean the shares of Common Stock issuable upon exercise of the New Penny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premises and the mutual covenants contained herein and for other good and valuable consideration, the receipt and sufficiency of which are hereby acknowledged, the Company and each Investor, severally and not jointly,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PURCHASE AND SALE OF PREFERRED SHARES AND NEW PENNY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Purchase of Preferred Shares</w:t>
      </w:r>
      <w:r>
        <w:rPr>
          <w:rFonts w:ascii="Times New Roman" w:hAnsi="Times New Roman"/>
          <w:caps w:val="false"/>
          <w:smallCaps w:val="false"/>
          <w:sz w:val="20"/>
        </w:rPr>
        <w:t>. Subject to the satisfaction (or waiver) of the conditions set forth in Sections 6 and 7 below, at the Closing, the Company shall issue and sell to each Investor, severally and not jointly, and each Investor shall purchase from the Company, severally and not jointly, the number of Preferred Shares set forth opposite such Investor’s name on the Schedule of Investors as set forth on Exhibit B, for an aggregate purchase price of $55,000,000, consisting of the Cash Investment and the Converted Debt, with the purchase price per Investor for both the Cash Investment and the Converted Debt as set forth opposite such Investor’s name under the Columns “</w:t>
      </w:r>
      <w:r>
        <w:rPr>
          <w:rFonts w:ascii="Times New Roman" w:hAnsi="Times New Roman"/>
          <w:b/>
          <w:caps w:val="false"/>
          <w:smallCaps w:val="false"/>
          <w:sz w:val="20"/>
        </w:rPr>
        <w:t>Cash Purchase Price</w:t>
      </w:r>
      <w:r>
        <w:rPr>
          <w:rFonts w:ascii="Times New Roman" w:hAnsi="Times New Roman"/>
          <w:caps w:val="false"/>
          <w:smallCaps w:val="false"/>
          <w:sz w:val="20"/>
        </w:rPr>
        <w:t>” and “</w:t>
      </w:r>
      <w:r>
        <w:rPr>
          <w:rFonts w:ascii="Times New Roman" w:hAnsi="Times New Roman"/>
          <w:b/>
          <w:caps w:val="false"/>
          <w:smallCaps w:val="false"/>
          <w:sz w:val="20"/>
        </w:rPr>
        <w:t>Principal Amount of Converted Debt</w:t>
      </w:r>
      <w:r>
        <w:rPr>
          <w:rFonts w:ascii="Times New Roman" w:hAnsi="Times New Roman"/>
          <w:caps w:val="false"/>
          <w:smallCaps w:val="false"/>
          <w:sz w:val="20"/>
        </w:rPr>
        <w:t>”, respectively, on Exhibit B. The purchase price for each share of Convertible Preferred Stock shall be $1,000 per share (the “</w:t>
      </w:r>
      <w:r>
        <w:rPr>
          <w:rFonts w:ascii="Times New Roman" w:hAnsi="Times New Roman"/>
          <w:b/>
          <w:caps w:val="false"/>
          <w:smallCaps w:val="false"/>
          <w:sz w:val="20"/>
        </w:rPr>
        <w:t>Purchase Price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Closing</w:t>
      </w:r>
      <w:r>
        <w:rPr>
          <w:rFonts w:ascii="Times New Roman" w:hAnsi="Times New Roman"/>
          <w:caps w:val="false"/>
          <w:smallCaps w:val="false"/>
          <w:sz w:val="20"/>
        </w:rPr>
        <w:t>. The Closing shall occur remotely by exchange of documents and signatures on the first Business Day on which the conditions set forth in Sections 6 and 7 below have been satisfied or waived, or at such other time and place as the Company and the Required Holders may mutually agree. For the avoidance of doubt, the Closing shall occur only after the filing of the Certificate of Designation, receipt of the approval by the Company’s stockholders of the transactions contemplated by this Agreement, including the issuance of the Preferred Shares, the New Penny Warrants, all Conversion Shares and all New Penny Warrant Shares, in each case to the extent required by applicable rules of the Principal Market (the “</w:t>
      </w:r>
      <w:r>
        <w:rPr>
          <w:rFonts w:ascii="Times New Roman" w:hAnsi="Times New Roman"/>
          <w:b/>
          <w:caps w:val="false"/>
          <w:smallCaps w:val="false"/>
          <w:sz w:val="20"/>
        </w:rPr>
        <w:t>Stockholder Approval</w:t>
      </w:r>
      <w:r>
        <w:rPr>
          <w:rFonts w:ascii="Times New Roman" w:hAnsi="Times New Roman"/>
          <w:caps w:val="false"/>
          <w:smallCaps w:val="false"/>
          <w:sz w:val="20"/>
        </w:rPr>
        <w:t>”) and the implementation of the reverse stock split of the Common Stock at a ratio ranging from any whole number between 1-for-15 and 1-for-40 (the “</w:t>
      </w:r>
      <w:r>
        <w:rPr>
          <w:rFonts w:ascii="Times New Roman" w:hAnsi="Times New Roman"/>
          <w:b/>
          <w:caps w:val="false"/>
          <w:smallCaps w:val="false"/>
          <w:sz w:val="20"/>
        </w:rPr>
        <w:t>Reverse Stock Split</w:t>
      </w:r>
      <w:r>
        <w:rPr>
          <w:rFonts w:ascii="Times New Roman" w:hAnsi="Times New Roman"/>
          <w:caps w:val="false"/>
          <w:smallCaps w:val="false"/>
          <w:sz w:val="20"/>
        </w:rPr>
        <w:t>”), or such other ratio as may be approved by the Board of Directors of the Company (the “</w:t>
      </w:r>
      <w:r>
        <w:rPr>
          <w:rFonts w:ascii="Times New Roman" w:hAnsi="Times New Roman"/>
          <w:b/>
          <w:caps w:val="false"/>
          <w:smallCaps w:val="false"/>
          <w:sz w:val="20"/>
        </w:rPr>
        <w:t>Board</w:t>
      </w:r>
      <w:r>
        <w:rPr>
          <w:rFonts w:ascii="Times New Roman" w:hAnsi="Times New Roman"/>
          <w:caps w:val="false"/>
          <w:smallCaps w:val="false"/>
          <w:sz w:val="20"/>
        </w:rPr>
        <w:t>”), including at least one Preferred Director (as defined below) with the understanding that the target post-Reverse Stock Split price per share of Common Stock shall be at least $8.00 per share and delivery of the other closing deliverables contemplated hereby. As used herein “</w:t>
      </w:r>
      <w:r>
        <w:rPr>
          <w:rFonts w:ascii="Times New Roman" w:hAnsi="Times New Roman"/>
          <w:b/>
          <w:caps w:val="false"/>
          <w:smallCaps w:val="false"/>
          <w:sz w:val="20"/>
        </w:rPr>
        <w:t>Business Day</w:t>
      </w:r>
      <w:r>
        <w:rPr>
          <w:rFonts w:ascii="Times New Roman" w:hAnsi="Times New Roman"/>
          <w:caps w:val="false"/>
          <w:smallCaps w:val="false"/>
          <w:sz w:val="20"/>
        </w:rPr>
        <w:t>” means any day other than Saturday, Sunday or other day on which commercial banks in The City of New York are authorized or required by law to remain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Cash Investment</w:t>
      </w:r>
      <w:r>
        <w:rPr>
          <w:rFonts w:ascii="Times New Roman" w:hAnsi="Times New Roman"/>
          <w:caps w:val="false"/>
          <w:smallCaps w:val="false"/>
          <w:sz w:val="20"/>
        </w:rPr>
        <w:t>. Concurrently with the execution and delivery of this Agreement, each Investor shall pay to the Company, by wire transfer of immediately available funds in accordance with the wire transfer instructions of the Company in a letter on the letterhead of the Company, duly executed by the Chief Financial Officer of the Company and delivered to the Investors prior to the date hereof, such Investor’s portion of the Cash Investment as set forth opposite such Investor’s name under the column “</w:t>
      </w:r>
      <w:r>
        <w:rPr>
          <w:rFonts w:ascii="Times New Roman" w:hAnsi="Times New Roman"/>
          <w:b/>
          <w:caps w:val="false"/>
          <w:smallCaps w:val="false"/>
          <w:sz w:val="20"/>
        </w:rPr>
        <w:t>Cash Purchase Price</w:t>
      </w:r>
      <w:r>
        <w:rPr>
          <w:rFonts w:ascii="Times New Roman" w:hAnsi="Times New Roman"/>
          <w:caps w:val="false"/>
          <w:smallCaps w:val="false"/>
          <w:sz w:val="20"/>
        </w:rPr>
        <w:t>” on Exhibit B. Such amount shall be held and applied in accordance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Exchange of Converted Debt</w:t>
      </w:r>
      <w:r>
        <w:rPr>
          <w:rFonts w:ascii="Times New Roman" w:hAnsi="Times New Roman"/>
          <w:caps w:val="false"/>
          <w:smallCaps w:val="false"/>
          <w:sz w:val="20"/>
        </w:rPr>
        <w:t>. At the Closing, each Investor’s portion of the Converted Debt shall automatically be exchanged for such amount of Preferred Shares as is set forth opposite such Investor’s name under the column “</w:t>
      </w:r>
      <w:r>
        <w:rPr>
          <w:rFonts w:ascii="Times New Roman" w:hAnsi="Times New Roman"/>
          <w:b/>
          <w:caps w:val="false"/>
          <w:smallCaps w:val="false"/>
          <w:sz w:val="20"/>
        </w:rPr>
        <w:t>Principal Amount of Converted Debt</w:t>
      </w:r>
      <w:r>
        <w:rPr>
          <w:rFonts w:ascii="Times New Roman" w:hAnsi="Times New Roman"/>
          <w:caps w:val="false"/>
          <w:smallCaps w:val="false"/>
          <w:sz w:val="20"/>
        </w:rPr>
        <w:t>” on Exhibit B. Upon the issuance of the Preferred Shares in respect of the Converted Debt at the Closing, the principal of the Term Loan B and the Delayed Draw Term Loans constituting the Converted Debt outstanding under the Financing Agreement owned by each such Investor immediately prior to the Closing shall automatically be deemed satisfied, exchanged and cancelled in full at the Closing. For the avoidance of doubt, interest accrued as of the Closing on the principal of the Term Loan B and the Delayed Draw Term Loan being cancelled hereunder will still be due and payable on the immediately succeeding interest payment date following the Closing under and in accordance with the Financing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Failure to Obtain Stockholder Approval; Cash Investment Added to Debt</w:t>
      </w:r>
      <w:r>
        <w:rPr>
          <w:rFonts w:ascii="Times New Roman" w:hAnsi="Times New Roman"/>
          <w:caps w:val="false"/>
          <w:smallCaps w:val="false"/>
          <w:sz w:val="20"/>
        </w:rPr>
        <w:t>. If this Agreement is terminated as a result of the Company’s failure to obtain the Stockholder Approval, then automatically, without any further action of any party, (i) the Cash Investment shall automatically be deemed to be an Obligation under the Financing Agreement, as amended by the Financing Agreement Amendment (the “</w:t>
      </w:r>
      <w:r>
        <w:rPr>
          <w:rFonts w:ascii="Times New Roman" w:hAnsi="Times New Roman"/>
          <w:b/>
          <w:caps w:val="false"/>
          <w:smallCaps w:val="false"/>
          <w:sz w:val="20"/>
        </w:rPr>
        <w:t>Amended Financing Agreement</w:t>
      </w:r>
      <w:r>
        <w:rPr>
          <w:rFonts w:ascii="Times New Roman" w:hAnsi="Times New Roman"/>
          <w:caps w:val="false"/>
          <w:smallCaps w:val="false"/>
          <w:sz w:val="20"/>
        </w:rPr>
        <w:t>”) and (ii) a fee shall be due and payable by Company to the Administration Agent for the account of the Investors (in their capacity as “</w:t>
      </w:r>
      <w:r>
        <w:rPr>
          <w:rFonts w:ascii="Times New Roman" w:hAnsi="Times New Roman"/>
          <w:b/>
          <w:caps w:val="false"/>
          <w:smallCaps w:val="false"/>
          <w:sz w:val="20"/>
        </w:rPr>
        <w:t>Lenders</w:t>
      </w:r>
      <w:r>
        <w:rPr>
          <w:rFonts w:ascii="Times New Roman" w:hAnsi="Times New Roman"/>
          <w:caps w:val="false"/>
          <w:smallCaps w:val="false"/>
          <w:sz w:val="20"/>
        </w:rPr>
        <w:t>”) under the Financing Agreement Amendment in an aggregate amount equal to $15,000,000, allocated among the Investors in accordance with the amounts funded by such Investors (the “</w:t>
      </w:r>
      <w:r>
        <w:rPr>
          <w:rFonts w:ascii="Times New Roman" w:hAnsi="Times New Roman"/>
          <w:b/>
          <w:caps w:val="false"/>
          <w:smallCaps w:val="false"/>
          <w:sz w:val="20"/>
        </w:rPr>
        <w:t>SPA Non-Approval Fee</w:t>
      </w:r>
      <w:r>
        <w:rPr>
          <w:rFonts w:ascii="Times New Roman" w:hAnsi="Times New Roman"/>
          <w:caps w:val="false"/>
          <w:smallCaps w:val="false"/>
          <w:sz w:val="20"/>
        </w:rPr>
        <w:t>”), which fee shall be fully earned and non-refundable on such date of termination, and payable in full in cash, together with the repayment in full of the Cash Investment, on the earliest to occur of (w) the Final Maturity Date, (x) the indefeasible payment in full in cash of all Obligations (other than the Cash Investment and the SPA Non-Approval Fee) that are due and payable under the Amended Financing Agreement, (y) the acceleration (including as a result of the commencement of any proceeding under any Debtor Relief Law) of all or any portion of the Obligations, or (z) the satisfaction, release, payment, restructuring, reorganization, replacement, reinstatement, defeasance or compromise of any of the Obligations, foreclosure (whether by power of judicial proceeding or otherwise) or deed in lieu of foreclosure or the making of a distribution of any kind to the Administrative Agent and Lenders in full or partial satisfaction of the Obligations. Defined terms used in this Section 1(e) and not defined herein shall have the meanings set forth in the Amended Financing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Financing Agreement Amendment; New Penny Warrants</w:t>
      </w:r>
      <w:r>
        <w:rPr>
          <w:rFonts w:ascii="Times New Roman" w:hAnsi="Times New Roman"/>
          <w:caps w:val="false"/>
          <w:smallCaps w:val="false"/>
          <w:sz w:val="20"/>
        </w:rPr>
        <w:t>. Concurrently with the execution and delivery of this Agreement, the Company and the Investors shall enter into the Financing Agreement Amendment and the Company shall issue the New Penny Warrants to the Investors. The New Penny Warrants shall be in the form attached hereto as Exhibit C and shall be exercisable for an aggregate of 15,253,473 shares of common stock of the Company, par value $0.001 per share (the “</w:t>
      </w:r>
      <w:r>
        <w:rPr>
          <w:rFonts w:ascii="Times New Roman" w:hAnsi="Times New Roman"/>
          <w:b/>
          <w:caps w:val="false"/>
          <w:smallCaps w:val="false"/>
          <w:sz w:val="20"/>
        </w:rPr>
        <w:t>Common Stock</w:t>
      </w:r>
      <w:r>
        <w:rPr>
          <w:rFonts w:ascii="Times New Roman" w:hAnsi="Times New Roman"/>
          <w:caps w:val="false"/>
          <w:smallCaps w:val="false"/>
          <w:sz w:val="20"/>
        </w:rPr>
        <w:t>”). The allocation of the New Penny Warrants among the Investors shall be as set forth opposite such Investor’s name under the column “</w:t>
      </w:r>
      <w:r>
        <w:rPr>
          <w:rFonts w:ascii="Times New Roman" w:hAnsi="Times New Roman"/>
          <w:b/>
          <w:caps w:val="false"/>
          <w:smallCaps w:val="false"/>
          <w:sz w:val="20"/>
        </w:rPr>
        <w:t>Number of New Penny Warrant Shares</w:t>
      </w:r>
      <w:r>
        <w:rPr>
          <w:rFonts w:ascii="Times New Roman" w:hAnsi="Times New Roman"/>
          <w:caps w:val="false"/>
          <w:smallCaps w:val="false"/>
          <w:sz w:val="20"/>
        </w:rPr>
        <w:t>” on Exhibit B attached hereto. The number of shares set forth herein and on Exhibit B shall be subject to equitable adjustment to reflect any stock split, reverse stock split, stock dividend, recapitalization, or similar event with respect to the Common Stock occurring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Cancellation of Premium Warrants; Super Premium Warrants</w:t>
      </w:r>
      <w:r>
        <w:rPr>
          <w:rFonts w:ascii="Times New Roman" w:hAnsi="Times New Roman"/>
          <w:caps w:val="false"/>
          <w:smallCaps w:val="false"/>
          <w:sz w:val="20"/>
        </w:rPr>
        <w:t>. Effective as of, and contingent upon, the Closing, each Investor’s (i) outstanding warrants to purchase common stock with an exercise price of $1.68 per share, exercisable on and after December 7, 2025 until June 6, 2032 (the “</w:t>
      </w:r>
      <w:r>
        <w:rPr>
          <w:rFonts w:ascii="Times New Roman" w:hAnsi="Times New Roman"/>
          <w:b/>
          <w:caps w:val="false"/>
          <w:smallCaps w:val="false"/>
          <w:sz w:val="20"/>
        </w:rPr>
        <w:t>June 2025 Premium Warrants</w:t>
      </w:r>
      <w:r>
        <w:rPr>
          <w:rFonts w:ascii="Times New Roman" w:hAnsi="Times New Roman"/>
          <w:caps w:val="false"/>
          <w:smallCaps w:val="false"/>
          <w:sz w:val="20"/>
        </w:rPr>
        <w:t>”), (ii) outstanding warrants to purchase common stock an exercise price of $1.50 per share, exercisable on and after June 16, 2026 and expiring on December 15, 2032 (the “</w:t>
      </w:r>
      <w:r>
        <w:rPr>
          <w:rFonts w:ascii="Times New Roman" w:hAnsi="Times New Roman"/>
          <w:b/>
          <w:i/>
          <w:caps w:val="false"/>
          <w:smallCaps w:val="false"/>
          <w:sz w:val="20"/>
        </w:rPr>
        <w:t>D</w:t>
      </w:r>
      <w:r>
        <w:rPr>
          <w:rFonts w:ascii="Times New Roman" w:hAnsi="Times New Roman"/>
          <w:b/>
          <w:caps w:val="false"/>
          <w:smallCaps w:val="false"/>
          <w:sz w:val="20"/>
        </w:rPr>
        <w:t>ecember 2025 Super Premium Warrants</w:t>
      </w:r>
      <w:r>
        <w:rPr>
          <w:rFonts w:ascii="Times New Roman" w:hAnsi="Times New Roman"/>
          <w:caps w:val="false"/>
          <w:smallCaps w:val="false"/>
          <w:sz w:val="20"/>
        </w:rPr>
        <w:t>”) and (iii) outstanding warrants to purchase common stock with an exercise price of $1.25 per share, exercisable on and after June 16, 2026 and expiring on December 15, 2032 (the “</w:t>
      </w:r>
      <w:r>
        <w:rPr>
          <w:rFonts w:ascii="Times New Roman" w:hAnsi="Times New Roman"/>
          <w:b/>
          <w:caps w:val="false"/>
          <w:smallCaps w:val="false"/>
          <w:sz w:val="20"/>
        </w:rPr>
        <w:t>December 2025 Premium Warrants</w:t>
      </w:r>
      <w:r>
        <w:rPr>
          <w:rFonts w:ascii="Times New Roman" w:hAnsi="Times New Roman"/>
          <w:caps w:val="false"/>
          <w:smallCaps w:val="false"/>
          <w:sz w:val="20"/>
        </w:rPr>
        <w:t>”) ((i) – (iii) collectively, the “</w:t>
      </w:r>
      <w:r>
        <w:rPr>
          <w:rFonts w:ascii="Times New Roman" w:hAnsi="Times New Roman"/>
          <w:b/>
          <w:caps w:val="false"/>
          <w:smallCaps w:val="false"/>
          <w:sz w:val="20"/>
        </w:rPr>
        <w:t>Cancelled Warrants</w:t>
      </w:r>
      <w:r>
        <w:rPr>
          <w:rFonts w:ascii="Times New Roman" w:hAnsi="Times New Roman"/>
          <w:caps w:val="false"/>
          <w:smallCaps w:val="false"/>
          <w:sz w:val="20"/>
        </w:rPr>
        <w:t>”), in each case set forth opposite such Investor’s name on Exhibit B hereto, shall be automatically and without any further action required by any party be deemed surrendered to the Company, extinguished, cancelled and of no further force or effect, and thereafter each Investor shall have no further rights to the Cancelled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caps w:val="false"/>
          <w:smallCaps w:val="false"/>
          <w:sz w:val="20"/>
        </w:rPr>
        <w:t>INVESTOR</w:t>
      </w:r>
      <w:r>
        <w:rPr>
          <w:rFonts w:ascii="Times New Roman" w:hAnsi="Times New Roman"/>
          <w:caps w:val="false"/>
          <w:smallCaps w:val="false"/>
          <w:sz w:val="20"/>
        </w:rPr>
        <w:t>’</w:t>
      </w:r>
      <w:r>
        <w:rPr>
          <w:rFonts w:ascii="Times New Roman" w:hAnsi="Times New Roman"/>
          <w:b/>
          <w:caps w:val="false"/>
          <w:smallCaps w:val="false"/>
          <w:sz w:val="20"/>
        </w:rPr>
        <w:t>S 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Investor, severally and not jointly, represents and warrants to the Company with respect to only itself that, as of the date hereof and as of the date on which the Closing occurs (the “</w:t>
      </w:r>
      <w:r>
        <w:rPr>
          <w:rFonts w:ascii="Times New Roman" w:hAnsi="Times New Roman"/>
          <w:b/>
          <w:caps w:val="false"/>
          <w:smallCaps w:val="false"/>
          <w:sz w:val="20"/>
        </w:rPr>
        <w:t>Closing Date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Organization; Authority</w:t>
      </w:r>
      <w:r>
        <w:rPr>
          <w:rFonts w:ascii="Times New Roman" w:hAnsi="Times New Roman"/>
          <w:caps w:val="false"/>
          <w:smallCaps w:val="false"/>
          <w:sz w:val="20"/>
        </w:rPr>
        <w:t>. Such Investor is an entity duly incorporated or organized, validly existing and, to the extent such concept exists under the laws of jurisdiction of its incorporation or organization, in good standing under the laws of the jurisdiction of its incorporation or organization, as applicable, with all requisite power and authority, and has taken all requisite corporate or other action, as applicable, to enter into and to consummate the transactions contemplated by this Agreement, the Certificate of Designation, the New Penny Warrants, the Financing Agreement Amendment, the Irrevocable Transfer Agent Instructions and each other agreement, schedule, exhibit, certificate or instrument executed or delivered by any of the parties hereto in connection with the transactions contemplated hereby and thereby, as may be amended from time to time (collectively, “</w:t>
      </w:r>
      <w:r>
        <w:rPr>
          <w:rFonts w:ascii="Times New Roman" w:hAnsi="Times New Roman"/>
          <w:b/>
          <w:caps w:val="false"/>
          <w:smallCaps w:val="false"/>
          <w:sz w:val="20"/>
        </w:rPr>
        <w:t>Transaction Documents</w:t>
      </w:r>
      <w:r>
        <w:rPr>
          <w:rFonts w:ascii="Times New Roman" w:hAnsi="Times New Roman"/>
          <w:caps w:val="false"/>
          <w:smallCaps w:val="false"/>
          <w:sz w:val="20"/>
        </w:rPr>
        <w:t>”) to which it is a party and otherwise to carry out its obligations hereunder and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No Public Sale or Distribution</w:t>
      </w:r>
      <w:r>
        <w:rPr>
          <w:rFonts w:ascii="Times New Roman" w:hAnsi="Times New Roman"/>
          <w:caps w:val="false"/>
          <w:smallCaps w:val="false"/>
          <w:sz w:val="20"/>
        </w:rPr>
        <w:t>. Such Investor (i) is acquiring its Preferred Shares and New Penny Warrants, (ii) upon conversion of its Preferred Shares will acquire the Conversion Shares issuable upon conversion thereof, and (iii) upon exercise of its New Penny Warrants will acquire the New Penny Warrant Shares issuable upon exercise thereof, in each case, for its own account and not with a view towards, or for resale in connection with, the public sale or distribution thereof in violation of applicable securities laws, except pursuant to sales registered or exempted under the Securities Act; provided, however, by making the representations herein, such Investor does not agree, or make any representation or warranty, to hold any of the Securities for any minimum or other specific term and, subject to compliance with Section 4(x), reserves the right to dispose of the Securities at any time in accordance with or pursuant to a registration statement or an exemption from registration under the Securities Act. Such Investor does not presently have any agreement or understanding, directly or indirectly, with any Person to distribute any of the Securities in violation of applicable securities laws. For purposes of this Agreement, “</w:t>
      </w:r>
      <w:r>
        <w:rPr>
          <w:rFonts w:ascii="Times New Roman" w:hAnsi="Times New Roman"/>
          <w:b/>
          <w:caps w:val="false"/>
          <w:smallCaps w:val="false"/>
          <w:sz w:val="20"/>
        </w:rPr>
        <w:t>Person</w:t>
      </w:r>
      <w:r>
        <w:rPr>
          <w:rFonts w:ascii="Times New Roman" w:hAnsi="Times New Roman"/>
          <w:caps w:val="false"/>
          <w:smallCaps w:val="false"/>
          <w:sz w:val="20"/>
        </w:rPr>
        <w:t>” means an individual, a limited liability company, a partnership, a joint venture, a corporation, a trust, an unincorporated organization, any other entity and any Governmental Entity (as defined below) or any department or agency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Accredited Investor Status</w:t>
      </w:r>
      <w:r>
        <w:rPr>
          <w:rFonts w:ascii="Times New Roman" w:hAnsi="Times New Roman"/>
          <w:caps w:val="false"/>
          <w:smallCaps w:val="false"/>
          <w:sz w:val="20"/>
        </w:rPr>
        <w:t>. Such Investor is an “accredited investor” as that term is defined in Rule 501(a) of Regulation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Reliance on Exemptions</w:t>
      </w:r>
      <w:r>
        <w:rPr>
          <w:rFonts w:ascii="Times New Roman" w:hAnsi="Times New Roman"/>
          <w:caps w:val="false"/>
          <w:smallCaps w:val="false"/>
          <w:sz w:val="20"/>
        </w:rPr>
        <w:t>. Such Investor understands that the Securities are being offered and sold to it in reliance on specific exemptions from the registration requirements of United States federal and state securities laws and that the Company is relying in part upon the truth and accuracy of, and such Investor’s compliance with, the representations, warranties, agreements, acknowledgments and understandings of such Investor set forth herein in order to determine the availability of such exemptions and the eligibility of such Investor to acquire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Information</w:t>
      </w:r>
      <w:r>
        <w:rPr>
          <w:rFonts w:ascii="Times New Roman" w:hAnsi="Times New Roman"/>
          <w:caps w:val="false"/>
          <w:smallCaps w:val="false"/>
          <w:sz w:val="20"/>
        </w:rPr>
        <w:t>. Such Investor and its advisors, if any, have been furnished with all materials relating to the business, finances and operations of the Company and materials relating to the offer and sale of the Securities that have been requested by such Investor. Such Investor and its advisors, if any, have been afforded the opportunity to ask questions of the Company. Neither such inquiries nor any other due diligence investigations conducted by such Investor or its advisors, if any, or its representatives shall modify, amend or affect such Investor’s right to rely on the Company’s representations and warranties contained herein. Such Investor understands that its investment in the Securities involves a high degree of risk. Such Investor has sought such accounting, legal and tax advice as it has considered necessary to make an informed investment decision with respect to its acquisition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No Governmental Review</w:t>
      </w:r>
      <w:r>
        <w:rPr>
          <w:rFonts w:ascii="Times New Roman" w:hAnsi="Times New Roman"/>
          <w:caps w:val="false"/>
          <w:smallCaps w:val="false"/>
          <w:sz w:val="20"/>
        </w:rPr>
        <w:t>. Such Investor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Transfer or Resale</w:t>
      </w:r>
      <w:r>
        <w:rPr>
          <w:rFonts w:ascii="Times New Roman" w:hAnsi="Times New Roman"/>
          <w:caps w:val="false"/>
          <w:smallCaps w:val="false"/>
          <w:sz w:val="20"/>
        </w:rPr>
        <w:t>. Such Investor understands that except as provided in Section 4(w) and Section 4(z) hereof: (i) the Securities have not been and are not being registered under the Securities Act or any state securities laws, and may not be offered for sale, sold, assigned or transferred unless (A) subsequently registered thereunder, (B) such Investor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such Investor provides the Company with reasonable assurance that such Securities can be sold, assigned or transferred pursuant to Rule 144 or Rule 144A promulgated under the Securities Act (or a successor rule thereto) (collectively, “</w:t>
      </w:r>
      <w:r>
        <w:rPr>
          <w:rFonts w:ascii="Times New Roman" w:hAnsi="Times New Roman"/>
          <w:b/>
          <w:caps w:val="false"/>
          <w:smallCaps w:val="false"/>
          <w:sz w:val="20"/>
        </w:rPr>
        <w:t>Rule</w:t>
      </w:r>
      <w:r>
        <w:rPr>
          <w:rFonts w:ascii="Times New Roman" w:hAnsi="Times New Roman"/>
          <w:caps w:val="false"/>
          <w:smallCaps w:val="false"/>
          <w:sz w:val="20"/>
        </w:rPr>
        <w:t> </w:t>
      </w:r>
      <w:r>
        <w:rPr>
          <w:rFonts w:ascii="Times New Roman" w:hAnsi="Times New Roman"/>
          <w:b/>
          <w:caps w:val="false"/>
          <w:smallCaps w:val="false"/>
          <w:sz w:val="20"/>
        </w:rPr>
        <w:t>144</w:t>
      </w:r>
      <w:r>
        <w:rPr>
          <w:rFonts w:ascii="Times New Roman" w:hAnsi="Times New Roman"/>
          <w:caps w:val="false"/>
          <w:smallCaps w:val="false"/>
          <w:sz w:val="20"/>
        </w:rPr>
        <w:t>”);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promulgated thereunder; and (iii) neither the Company nor any other Person is under any obligation to register the Securities under the Securities Act or any state securities laws or to comply with the terms and conditions of any exemption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Investor effecting a pledge of Securities shall be required to provide the Company with any notice thereof or otherwise make any delivery to the Company pursuant to this Agreement or any other Transaction Document, including, without limitation, this Section 2(g).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Validity; Enforcement</w:t>
      </w:r>
      <w:r>
        <w:rPr>
          <w:rFonts w:ascii="Times New Roman" w:hAnsi="Times New Roman"/>
          <w:caps w:val="false"/>
          <w:smallCaps w:val="false"/>
          <w:sz w:val="20"/>
        </w:rPr>
        <w:t>. This Agreement has been duly and validly authorized, executed and delivered on behalf of such Investor and shall constitute the legal, valid and binding obligations of such Investor enforceable against such Investor in accordance with its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No Conflicts</w:t>
      </w:r>
      <w:r>
        <w:rPr>
          <w:rFonts w:ascii="Times New Roman" w:hAnsi="Times New Roman"/>
          <w:caps w:val="false"/>
          <w:smallCaps w:val="false"/>
          <w:sz w:val="20"/>
        </w:rPr>
        <w:t>. The execution, delivery and performance by such Investor of this Agreement and the consummation by such Investor of the transactions contemplated hereby and thereby will not (i) result in a violation of the organizational documents of such Investor, or (ii) conflict with, or constitute a default (or an event which with notice or lapse of time or both would become a default) under, or give to others any rights of termination, amendment, acceleration or cancellation of, any agreement, indenture or instrument to which such Investor is a party, or (iii) result in a violation of any law, rule, regulation, order, judgment or decree (including federal and state securities laws) applicable to such Investor, except in the case of clauses (ii) and (iii) above, for such conflicts, defaults, rights or violations which could not, individually or in the aggregate, reasonably be expected to have a material adverse effect on the ability of such Investor to perform its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REPRESENTATIONS AND WARRANTIES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set forth in the disclosure schedule delivered by the Company to the Investors (the “</w:t>
      </w:r>
      <w:r>
        <w:rPr>
          <w:rFonts w:ascii="Times New Roman" w:hAnsi="Times New Roman"/>
          <w:b/>
          <w:caps w:val="false"/>
          <w:smallCaps w:val="false"/>
          <w:sz w:val="20"/>
        </w:rPr>
        <w:t>Disclosure Schedule</w:t>
      </w:r>
      <w:r>
        <w:rPr>
          <w:rFonts w:ascii="Times New Roman" w:hAnsi="Times New Roman"/>
          <w:caps w:val="false"/>
          <w:smallCaps w:val="false"/>
          <w:sz w:val="20"/>
        </w:rPr>
        <w:t>”), the Company represents and warrants to each of the Investors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Organization and Qualification</w:t>
      </w:r>
      <w:r>
        <w:rPr>
          <w:rFonts w:ascii="Times New Roman" w:hAnsi="Times New Roman"/>
          <w:caps w:val="false"/>
          <w:smallCaps w:val="false"/>
          <w:sz w:val="20"/>
        </w:rPr>
        <w:t>. Each of the Company and each of its Subsidiaries are entities duly organized and validly existing and in good standing under the laws of the jurisdiction in which they are formed, and have the requisite power and authority to own their properties, to carry on their business as now being conducted and as presently proposed to be conducted and to perform all their obligations under all Material Contracts.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hAnsi="Times New Roman"/>
          <w:b/>
          <w:caps w:val="false"/>
          <w:smallCaps w:val="false"/>
          <w:sz w:val="20"/>
        </w:rPr>
        <w:t>Material Adverse Effect</w:t>
      </w:r>
      <w:r>
        <w:rPr>
          <w:rFonts w:ascii="Times New Roman" w:hAnsi="Times New Roman"/>
          <w:caps w:val="false"/>
          <w:smallCaps w:val="false"/>
          <w:sz w:val="20"/>
        </w:rPr>
        <w:t>” means any material adverse effect on (i) the business, properties, assets, liabilities, operations (including results thereof), condition (financial or otherwise) or prospects of the Company or any Subsidiary, individually or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(as defined below). Other than as set forth in Section 3(a) of the Disclosure Schedule, the Company has no Subsidiaries. “</w:t>
      </w:r>
      <w:r>
        <w:rPr>
          <w:rFonts w:ascii="Times New Roman" w:hAnsi="Times New Roman"/>
          <w:b/>
          <w:caps w:val="false"/>
          <w:smallCaps w:val="false"/>
          <w:sz w:val="20"/>
        </w:rPr>
        <w:t>Subsidiaries</w:t>
      </w:r>
      <w:r>
        <w:rPr>
          <w:rFonts w:ascii="Times New Roman" w:hAnsi="Times New Roman"/>
          <w:caps w:val="false"/>
          <w:smallCaps w:val="false"/>
          <w:sz w:val="20"/>
        </w:rPr>
        <w:t>” means any Person in which the Company, directly or indirectly, (i) owns greater than 50% of the outstanding capital stock or holds any equity or similar interest of such Person or (ii) controls or operates all or any part of the business, operations or administration of such Person, and each of the foregoing, is individually referred to herein as a “</w:t>
      </w:r>
      <w:r>
        <w:rPr>
          <w:rFonts w:ascii="Times New Roman" w:hAnsi="Times New Roman"/>
          <w:b/>
          <w:caps w:val="false"/>
          <w:smallCaps w:val="false"/>
          <w:sz w:val="20"/>
        </w:rPr>
        <w:t>Subsidiary</w:t>
      </w:r>
      <w:r>
        <w:rPr>
          <w:rFonts w:ascii="Times New Roman" w:hAnsi="Times New Roman"/>
          <w:caps w:val="false"/>
          <w:smallCaps w:val="false"/>
          <w:sz w:val="20"/>
        </w:rPr>
        <w:t>.” “</w:t>
      </w:r>
      <w:r>
        <w:rPr>
          <w:rFonts w:ascii="Times New Roman" w:hAnsi="Times New Roman"/>
          <w:b/>
          <w:caps w:val="false"/>
          <w:smallCaps w:val="false"/>
          <w:sz w:val="20"/>
        </w:rPr>
        <w:t>Material Contract</w:t>
      </w:r>
      <w:r>
        <w:rPr>
          <w:rFonts w:ascii="Times New Roman" w:hAnsi="Times New Roman"/>
          <w:caps w:val="false"/>
          <w:smallCaps w:val="false"/>
          <w:sz w:val="20"/>
        </w:rPr>
        <w:t>” means any contract to which the Company or a Subsidiary is a party or by which it is bound which is material to the business of the Company that have been filed as an exhibit to the SEC Documents pursuant to Item 601(b)(10)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Authorization; Enforcement; Validity</w:t>
      </w:r>
      <w:r>
        <w:rPr>
          <w:rFonts w:ascii="Times New Roman" w:hAnsi="Times New Roman"/>
          <w:caps w:val="false"/>
          <w:smallCaps w:val="false"/>
          <w:sz w:val="20"/>
        </w:rPr>
        <w:t>. The Company has the requisite power and authority to enter into and perform its obligations under this Agreement and the other Transaction Documents and, subject to receipt of the Stockholder Approval,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Preferred Shares and the reservation for issuance and issuance of the Conversion Shares issuable upon conversion of the Preferred Shares and the issuance of the New Penny Warrants and the reservation for issuance and issuance of the New Penny Warrant Shares issuable upon exercise of the New Penny Warrants) have been duly authorized by the Board or other governing body, as applicable, and (other than the filing with the SEC of one or more Registration Statements (as defined in Section 4(w)) in accordance with the requirements of Section 4(w), a Form D with the SEC and any other filings as may be required by any state securities agencies) no further filing, consent or authorization is required by the Company, its Subsidiaries, their respective boards of directors or their stockholders or other governing body. This Agreement has been, and the other Transaction Documents to which it is a party will be prior to such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Prior to the Closing, the Certificate of Designation in the form attached hereto as Exhibit A will have been filed with the Secretary of State of the State of Delaware and will be in full force and effect, enforceable against the Company in accordance with its terms and has not been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Issuance of Securities</w:t>
      </w:r>
      <w:r>
        <w:rPr>
          <w:rFonts w:ascii="Times New Roman" w:hAnsi="Times New Roman"/>
          <w:caps w:val="false"/>
          <w:smallCaps w:val="false"/>
          <w:sz w:val="20"/>
        </w:rPr>
        <w:t>. The issuance of the Preferred Shares and the New Penny Warrants has been duly authorized and, upon issuance in accordance with the terms of the Transaction Documents, shall be validly issued, fully paid and non-assessable and free from all preemptive or similar rights, mortgages, defects, claims, liens, pledges, charges, Taxes (as defined below), rights of first refusal, encumbrances, security interests and other encumbrances (collectively “</w:t>
      </w:r>
      <w:r>
        <w:rPr>
          <w:rFonts w:ascii="Times New Roman" w:hAnsi="Times New Roman"/>
          <w:b/>
          <w:caps w:val="false"/>
          <w:smallCaps w:val="false"/>
          <w:sz w:val="20"/>
        </w:rPr>
        <w:t>Liens</w:t>
      </w:r>
      <w:r>
        <w:rPr>
          <w:rFonts w:ascii="Times New Roman" w:hAnsi="Times New Roman"/>
          <w:caps w:val="false"/>
          <w:smallCaps w:val="false"/>
          <w:sz w:val="20"/>
        </w:rPr>
        <w:t>”) with respect to the issuance thereof. Upon issuance or conversion in accordance with the Certificate of Designation or exercise in accordance with the New Penny Warrants (as the case may be), the Conversion Shares and the New Penny Warrant Shares, respectively, when issued, will be validly issued, fully paid and nonassessable and free from all preemptive or similar rights or Liens with respect to the issue thereof, with the holders being entitled to all rights accorded to a holder of Common Stock. Subject to the accuracy of the representations and warranties of the Investors in this Agreement, the offer and issuance by the Company of the Securities is exempt from registration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No Conflicts</w:t>
      </w:r>
      <w:r>
        <w:rPr>
          <w:rFonts w:ascii="Times New Roman" w:hAnsi="Times New Roman"/>
          <w:caps w:val="false"/>
          <w:smallCaps w:val="false"/>
          <w:sz w:val="20"/>
        </w:rPr>
        <w:t>. The execution, delivery and performance of the Transaction Documents by the Company and the consummation by the Company of the transactions contemplated hereby and thereby (including, without limitation, the issuance of the Preferred Shares, the New Penny Warrants, the Conversion Shares and the New Penny Warrant Shares and the reservation for issuance of the Conversion Shares and the New Penny Warrant Shares) will not (i) result in a violation of the Certificate of Incorporation (as defined below) (including, without limitation, any certificate of designation contained therein), Bylaws (as defined below), certificate of formation, memorandum of association, articles of association, bylaws or other organizational documents of the Company or any of its Subsidiaries, or any capital stock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Material Contract, or (iii) subject to receipt of the Stockholder Approval, result in a violation of any law, rule, regulation, order, judgment or decree (including, without limitation, foreign, federal and state securities laws and regulations and the rules and regulations of The Nasdaq Stock Market LLC (the “</w:t>
      </w:r>
      <w:r>
        <w:rPr>
          <w:rFonts w:ascii="Times New Roman" w:hAnsi="Times New Roman"/>
          <w:b/>
          <w:caps w:val="false"/>
          <w:smallCaps w:val="false"/>
          <w:sz w:val="20"/>
        </w:rPr>
        <w:t>Principal Market</w:t>
      </w:r>
      <w:r>
        <w:rPr>
          <w:rFonts w:ascii="Times New Roman" w:hAnsi="Times New Roman"/>
          <w:caps w:val="false"/>
          <w:smallCaps w:val="false"/>
          <w:sz w:val="20"/>
        </w:rPr>
        <w:t>”) and including all applicable foreign, federal and state laws, rules and regulations) applicable to the Company or any of its Subsidiaries or by which any property or asset of the Company or any of its Subsidiaries is bound or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Consents</w:t>
      </w:r>
      <w:r>
        <w:rPr>
          <w:rFonts w:ascii="Times New Roman" w:hAnsi="Times New Roman"/>
          <w:caps w:val="false"/>
          <w:smallCaps w:val="false"/>
          <w:sz w:val="20"/>
        </w:rPr>
        <w:t>. Neither the Company nor any Subsidiary is required to obtain any consent from, authorization or order of, or make any filing or registration with (other than receipt of the Stockholder Approval, the filing with the SEC of one or more Registration Statements in accordance with the requirements of Section 4(w), a Form D with the SEC and any other filings as may be required by any state securities agencies), any Governmental Entity (as defined below) or any regulatory or self-regulatory agency or any other Person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such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Except as disclosed in Section 3(e) of the Disclosure Schedule, the Company is not in violation of the requirements of the Principal Market and has no knowledge of any facts or circumstances which could reasonably lead to delisting or suspension of the Common Stock in the foreseeable future. “</w:t>
      </w:r>
      <w:r>
        <w:rPr>
          <w:rFonts w:ascii="Times New Roman" w:hAnsi="Times New Roman"/>
          <w:b/>
          <w:caps w:val="false"/>
          <w:smallCaps w:val="false"/>
          <w:sz w:val="20"/>
        </w:rPr>
        <w:t>Governmental Entity</w:t>
      </w:r>
      <w:r>
        <w:rPr>
          <w:rFonts w:ascii="Times New Roman" w:hAnsi="Times New Roman"/>
          <w:caps w:val="false"/>
          <w:smallCaps w:val="false"/>
          <w:sz w:val="20"/>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Acknowledgment Regarding Investor</w:t>
      </w:r>
      <w:r>
        <w:rPr>
          <w:rFonts w:ascii="Times New Roman" w:hAnsi="Times New Roman"/>
          <w:caps w:val="false"/>
          <w:smallCaps w:val="false"/>
          <w:sz w:val="20"/>
        </w:rPr>
        <w:t>’</w:t>
      </w:r>
      <w:r>
        <w:rPr>
          <w:rFonts w:ascii="Times New Roman" w:hAnsi="Times New Roman"/>
          <w:b/>
          <w:caps w:val="false"/>
          <w:smallCaps w:val="false"/>
          <w:sz w:val="20"/>
        </w:rPr>
        <w:t>s Purchase of Securities</w:t>
      </w:r>
      <w:r>
        <w:rPr>
          <w:rFonts w:ascii="Times New Roman" w:hAnsi="Times New Roman"/>
          <w:caps w:val="false"/>
          <w:smallCaps w:val="false"/>
          <w:sz w:val="20"/>
        </w:rPr>
        <w:t>. The Company acknowledges and agrees that each Investor is acting solely in the capacity of an arm’s length purchaser with respect to the Transaction Documents and the transactions contemplated hereby and thereby. The Company further acknowledges that no Investor is acting as a financial advisor or fiduciary of the Company or any of its Subsidiaries (or in any similar capacity) with respect to the Transaction Documents and the transactions contemplated hereby and thereby, and any advice given by an Investor or any of its representatives or agents in connection with the Transaction Documents and the transactions contemplated hereby and thereby is merely incidental to such Investor’s purchase of the Securities. The Company further represents to each Investor that the Company’s and each Subsidiary’s decision to enter into the Transaction Documents to which it is a party has been based solely on the independent evaluation by the Company, each Subsidiary and their respective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No General Solicitation; Placement Agent</w:t>
      </w:r>
      <w:r>
        <w:rPr>
          <w:rFonts w:ascii="Times New Roman" w:hAnsi="Times New Roman"/>
          <w:caps w:val="false"/>
          <w:smallCaps w:val="false"/>
          <w:sz w:val="20"/>
        </w:rPr>
        <w:t>’</w:t>
      </w:r>
      <w:r>
        <w:rPr>
          <w:rFonts w:ascii="Times New Roman" w:hAnsi="Times New Roman"/>
          <w:b/>
          <w:caps w:val="false"/>
          <w:smallCaps w:val="false"/>
          <w:sz w:val="20"/>
        </w:rPr>
        <w:t>s Fees</w:t>
      </w:r>
      <w:r>
        <w:rPr>
          <w:rFonts w:ascii="Times New Roman" w:hAnsi="Times New Roman"/>
          <w:caps w:val="false"/>
          <w:smallCaps w:val="false"/>
          <w:sz w:val="20"/>
        </w:rPr>
        <w:t>. Neither the Company, nor any of its Subsidiaries or affiliates, nor any Person acting on its or their behalf, has engaged in any form of general solicitation or general advertising (within the meaning of Regulation D) in connection with the offer or sale of the Securities. The Company shall be responsible for the payment of any placement agent’s fees, financial advisory fees, or brokers’ commissions (other than for Persons engaged by any Investor or its investment advisor) relating to or arising out of the transactions contemplated hereby. Except as set forth on Section 3(g) of the Disclosure Schedule, neither the Company nor any of its Subsidiaries has engaged any placement agent or other agent in connection with the offer or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No Integrated Offering</w:t>
      </w:r>
      <w:r>
        <w:rPr>
          <w:rFonts w:ascii="Times New Roman" w:hAnsi="Times New Roman"/>
          <w:caps w:val="false"/>
          <w:smallCaps w:val="false"/>
          <w:sz w:val="20"/>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Securities under the Securities Act, whether through integration with prior offerings or otherwise. None of the Company, its Subsidiaries, their affiliates nor any Person acting on their behalf will take any action or steps that would require registration of the issuance of any of the Securities under the Securities Act (other than pursuant to Section 4(w)) or cause the offering of any of the Securities to be integrated with other offerings of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Dilutive Effect</w:t>
      </w:r>
      <w:r>
        <w:rPr>
          <w:rFonts w:ascii="Times New Roman" w:hAnsi="Times New Roman"/>
          <w:caps w:val="false"/>
          <w:smallCaps w:val="false"/>
          <w:sz w:val="20"/>
        </w:rPr>
        <w:t>. The Company understands and acknowledges that the number of Conversion Shares and New Penny Warrant Shares will increase in certain circumstances. The Company further acknowledges that its obligation to issue the Conversion Shares pursuant to the terms of the Certificate of Designation in accordance with this Agreement and the Certificate of Designation and the New Penny Warrant Shares upon exercise of the New Penny Warrants in accordance with this Agreement and the New Penny Warrants is, in each case, absolute and unconditional regardless of the dilutive effect that such issuance may have on the ownership interests of other stockholders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b/>
          <w:caps w:val="false"/>
          <w:smallCaps w:val="false"/>
          <w:sz w:val="20"/>
        </w:rPr>
        <w:t>Application of Takeover Protections; Rights Agreement</w:t>
      </w:r>
      <w:r>
        <w:rPr>
          <w:rFonts w:ascii="Times New Roman" w:hAnsi="Times New Roman"/>
          <w:caps w:val="false"/>
          <w:smallCaps w:val="false"/>
          <w:sz w:val="20"/>
        </w:rPr>
        <w:t>. The Company and the Board have taken all necessary action, if any, in order to render inapplicable any control share acquisition, interested stockholder, business combination, poison pill (including, without limitation, any distribution under a rights agreement), stockholder rights plan or other similar anti-takeover provision under the Certificate of Incorporation, Bylaws or other organizational documents or the laws of the jurisdiction of its incorporation or otherwise which is or could become applicable to any Investor as a result of the transactions contemplated by this Agreement, including, without limitation, the Company’s issuance of the Securities and any Investor’s ownership of the Securities. The Company and the Board have taken all necessary action, if any, in order to render inapplicable any stockholder rights plan or similar arrangement relating to accumulations of beneficial ownership of shares of Common Stock or a change in control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b/>
          <w:caps w:val="false"/>
          <w:smallCaps w:val="false"/>
          <w:sz w:val="20"/>
        </w:rPr>
        <w:t>SEC Documents; Financial Statements</w:t>
      </w:r>
      <w:r>
        <w:rPr>
          <w:rFonts w:ascii="Times New Roman" w:hAnsi="Times New Roman"/>
          <w:caps w:val="false"/>
          <w:smallCaps w:val="false"/>
          <w:sz w:val="20"/>
        </w:rPr>
        <w:t>. During the two (2) years prior to the date hereof, the Company has timely filed all reports (or has received a valid extension of such time of filing and has filed any such report prior to the expiration of any such extension), schedules, forms, proxy statements, statements and other documents required to be filed by it with the SEC pursuant to the reporting requirements of the Securities Exchange Act of 1934, as amended (the “</w:t>
      </w:r>
      <w:r>
        <w:rPr>
          <w:rFonts w:ascii="Times New Roman" w:hAnsi="Times New Roman"/>
          <w:b/>
          <w:caps w:val="false"/>
          <w:smallCaps w:val="false"/>
          <w:sz w:val="20"/>
        </w:rPr>
        <w:t>Exchange Act</w:t>
      </w:r>
      <w:r>
        <w:rPr>
          <w:rFonts w:ascii="Times New Roman" w:hAnsi="Times New Roman"/>
          <w:caps w:val="false"/>
          <w:smallCaps w:val="false"/>
          <w:sz w:val="20"/>
        </w:rPr>
        <w: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hAnsi="Times New Roman"/>
          <w:b/>
          <w:caps w:val="false"/>
          <w:smallCaps w:val="false"/>
          <w:sz w:val="20"/>
        </w:rPr>
        <w:t>SEC Documents</w:t>
      </w:r>
      <w:r>
        <w:rPr>
          <w:rFonts w:ascii="Times New Roman" w:hAnsi="Times New Roman"/>
          <w:caps w:val="false"/>
          <w:smallCaps w:val="false"/>
          <w:sz w:val="20"/>
        </w:rPr>
        <w:t>”). The Company has delivered or has made available to the Investors or their respective representatives true, correct and complete copies of each of the SEC Documents not available on the EDGAR system. As of their respective dates,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hAnsi="Times New Roman"/>
          <w:b/>
          <w:caps w:val="false"/>
          <w:smallCaps w:val="false"/>
          <w:sz w:val="20"/>
        </w:rPr>
        <w:t>GAAP</w:t>
      </w:r>
      <w:r>
        <w:rPr>
          <w:rFonts w:ascii="Times New Roman" w:hAnsi="Times New Roman"/>
          <w:caps w:val="false"/>
          <w:smallCaps w:val="false"/>
          <w:sz w:val="20"/>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under the Accounting Standards Codification Topic 450 (ASC 450) which are not provided for by the Company in its financial statements or otherwise. No other information provided by or on behalf of the Company to any of the Investors which is not included in the SEC Documents (including, without limitation, information referred to in Section 2(e) of this Agreement or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hAnsi="Times New Roman"/>
          <w:b/>
          <w:caps w:val="false"/>
          <w:smallCaps w:val="false"/>
          <w:sz w:val="20"/>
        </w:rPr>
        <w:t>Financial Statements</w:t>
      </w:r>
      <w:r>
        <w:rPr>
          <w:rFonts w:ascii="Times New Roman" w:hAnsi="Times New Roman"/>
          <w:caps w:val="false"/>
          <w:smallCaps w:val="false"/>
          <w:sz w:val="20"/>
        </w:rPr>
        <w:t>”), nor is the Company currently aware of facts or circumstances which would require the Company to amend or restate any of the Financial Statements, in each case, in order for any of the Financial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b/>
          <w:caps w:val="false"/>
          <w:smallCaps w:val="false"/>
          <w:sz w:val="20"/>
        </w:rPr>
        <w:t>Absence of Certain Changes</w:t>
      </w:r>
      <w:r>
        <w:rPr>
          <w:rFonts w:ascii="Times New Roman" w:hAnsi="Times New Roman"/>
          <w:caps w:val="false"/>
          <w:smallCaps w:val="false"/>
          <w:sz w:val="20"/>
        </w:rPr>
        <w:t>. Since the date of the Company’s most recent audited financial statements contained in a Form 10-K/A, except as disclosed in the SEC Documents, there has been no material adverse change and no material adverse development in the business, assets, liabilities, properties, operations (including results thereof), condition (financial or otherwise) or prospects of the Company or any of its Subsidiaries. Since the date of the Company’s most recent audited financial statements contained in a Form 10-K/A, neither the Company nor any of its Subsidiaries has (i) declared or paid any dividends, (ii) sold any assets, individually or in the aggregate, outside of the ordinary course of business, (iii) made any capital expenditures, individually or in the aggregate, outside of the ordinary course of business, or (iv) made any material change or material amendment to, or waiver of any material right, or termination (other than pursuant to the terms thereof) of, any Material Contract.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after giving effect to the transactions contemplated hereby to occur at such Closing, will not be Insolvent (as defined below). For purposes of this Section 3(l), “</w:t>
      </w:r>
      <w:r>
        <w:rPr>
          <w:rFonts w:ascii="Times New Roman" w:hAnsi="Times New Roman"/>
          <w:b/>
          <w:caps w:val="false"/>
          <w:smallCaps w:val="false"/>
          <w:sz w:val="20"/>
        </w:rPr>
        <w:t>Insolvent</w:t>
      </w:r>
      <w:r>
        <w:rPr>
          <w:rFonts w:ascii="Times New Roman" w:hAnsi="Times New Roman"/>
          <w:caps w:val="false"/>
          <w:smallCaps w:val="false"/>
          <w:sz w:val="20"/>
        </w:rPr>
        <w:t>” means, (i) with respect to the Company and its Subsidiaries, on a consolidated basis, (A) the present fair saleable value of the Company’s and its Subsidiaries’ assets is less than the amount required to pay the Company’s and its Subsidiaries’ total Indebtedness (as defined below), (B) the Company and its Subsidiaries are unable to pay their debts and liabilities, subordinated, contingent or otherwise, as such debts and liabilities become absolute and matured or (C) the Company and its Subsidiaries intend to incur or believe that they will incur debts that would be beyond their ability to pay as such debts mature; and (ii) with respect to the Company and each Subsidiary, individually, (A) the present fair saleable value of the Company’s or such Subsidiary’s (as the case may be) assets is less than the amount required to pay its respective total Indebtedness, (B) the Company or such Subsidiary (as the case may be) is unable to pay its respective debts and liabilities, subordinated, contingent or otherwise, as such debts and liabilities become absolute and matured or (C) the Company or such Subsidiary (as the case may be) intends to incur or believes that it will incur debts that would be beyond its respective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capital with which to conduct the business in which it is engaged as such business is now conducted and is proposed to be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b/>
          <w:caps w:val="false"/>
          <w:smallCaps w:val="false"/>
          <w:sz w:val="20"/>
        </w:rPr>
        <w:t>No Undisclosed Events, Liabilities, Developments or Circumstances</w:t>
      </w:r>
      <w:r>
        <w:rPr>
          <w:rFonts w:ascii="Times New Roman" w:hAnsi="Times New Roman"/>
          <w:caps w:val="false"/>
          <w:smallCaps w:val="false"/>
          <w:sz w:val="20"/>
        </w:rPr>
        <w:t>. Except as disclosed Section 3(m) of the Disclosure Schedule, no event, liability, development or circumstance has occurred or exists, or is reasonably expected to exist or occur with respect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on Form S-1 filed with the SEC relating to an issuance and sale by the Company of its Common Stock and which has not been publicly announced, (ii) could have a material adverse effect on any Investor’s investment hereunder or (iii) could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b/>
          <w:caps w:val="false"/>
          <w:smallCaps w:val="false"/>
          <w:sz w:val="20"/>
        </w:rPr>
        <w:t>Conduct of Business</w:t>
      </w:r>
      <w:r>
        <w:rPr>
          <w:rFonts w:ascii="Times New Roman" w:hAnsi="Times New Roman"/>
          <w:caps w:val="false"/>
          <w:smallCaps w:val="false"/>
          <w:sz w:val="20"/>
        </w:rPr>
        <w:t>. Neither the Company nor any of its Subsidiaries is in violation of any term of or in default under its Certificate of Incorporation, any certificate of designation, preferences or rights of any other outstanding series of preferred stock of the Company or any of its Subsidiaries or Bylaws or their organizational charter, certificate of formation, memorandum of association, articles of association, Certificate of Incorporation or certificate of incorporation or bylaws, respectively. Except as disclosed in Section 3(n) of the Disclosure Schedule, neither the Company nor any of its material Subsidiaries (i) is in violation of any judgment, decree or order or any statute, ordinance, rule or regulation applicable to the Company or any of its Subsidiaries, and neither the Company nor any of its Subsidiaries will conduct its business in violation of any of the foregoing, or (ii) is in default of or in violation of, nor has the Company or any of its Subsidiaries received written notice of a claim that it is in default under or that it is in violation of, any Material Contract (whether or not such default or violation has been waived), except in all cases for possible violations which could not, individually or in the aggregate, have a Material Adverse Effect. Without limiting the generality of the foregoing, the Company is not in violation of any of the rules, regulations or requirements of the Principal Market and has no knowledge of any facts or circumstances that could reasonably lead to delisting or suspension of the Common Stock by the Principal Market in the foreseeable future. During the two years prior to the date hereof, (i) the Common Stock has been listed or designated for quotation on the Principal Market, (ii) trading in the Common Stock has not been suspended by the SEC or the Principal Market and (iii) except as disclosed in Section 3(n) of the Disclosure Schedule, the Company has received no communication, written or oral, from the SEC or the Principal Market regarding the suspension or delisting of the Common Stock from the Principal Market.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b/>
          <w:caps w:val="false"/>
          <w:smallCaps w:val="false"/>
          <w:sz w:val="20"/>
        </w:rPr>
        <w:t>Foreign Corrupt Practices</w:t>
      </w:r>
      <w:r>
        <w:rPr>
          <w:rFonts w:ascii="Times New Roman" w:hAnsi="Times New Roman"/>
          <w:caps w:val="false"/>
          <w:smallCaps w:val="false"/>
          <w:sz w:val="20"/>
        </w:rPr>
        <w:t>. Neither the Company, any of the Company’s Subsidiaries, or any director, officer, agent, employee, nor any other person acting for or on behalf of the foregoing (individually and collectively, a “</w:t>
      </w:r>
      <w:r>
        <w:rPr>
          <w:rFonts w:ascii="Times New Roman" w:hAnsi="Times New Roman"/>
          <w:b/>
          <w:caps w:val="false"/>
          <w:smallCaps w:val="false"/>
          <w:sz w:val="20"/>
        </w:rPr>
        <w:t>Company Affiliate</w:t>
      </w:r>
      <w:r>
        <w:rPr>
          <w:rFonts w:ascii="Times New Roman" w:hAnsi="Times New Roman"/>
          <w:caps w:val="false"/>
          <w:smallCaps w:val="false"/>
          <w:sz w:val="20"/>
        </w:rPr>
        <w:t>”) have violated the U.S. Foreign Corrupt Practices Act (the “</w:t>
      </w:r>
      <w:r>
        <w:rPr>
          <w:rFonts w:ascii="Times New Roman" w:hAnsi="Times New Roman"/>
          <w:b/>
          <w:caps w:val="false"/>
          <w:smallCaps w:val="false"/>
          <w:sz w:val="20"/>
        </w:rPr>
        <w:t>FCPA</w:t>
      </w:r>
      <w:r>
        <w:rPr>
          <w:rFonts w:ascii="Times New Roman" w:hAnsi="Times New Roman"/>
          <w:caps w:val="false"/>
          <w:smallCaps w:val="false"/>
          <w:sz w:val="20"/>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hAnsi="Times New Roman"/>
          <w:b/>
          <w:caps w:val="false"/>
          <w:smallCaps w:val="false"/>
          <w:sz w:val="20"/>
        </w:rPr>
        <w:t>Government Official</w:t>
      </w:r>
      <w:r>
        <w:rPr>
          <w:rFonts w:ascii="Times New Roman" w:hAnsi="Times New Roman"/>
          <w:caps w:val="false"/>
          <w:smallCaps w:val="false"/>
          <w:sz w:val="20"/>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assisting the Company or its Subsidiaries in obtaining or retaining business for or with, or directing business to, the Company or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b/>
          <w:caps w:val="false"/>
          <w:smallCaps w:val="false"/>
          <w:sz w:val="20"/>
        </w:rPr>
        <w:t>Sarbanes-Oxley Act</w:t>
      </w:r>
      <w:r>
        <w:rPr>
          <w:rFonts w:ascii="Times New Roman" w:hAnsi="Times New Roman"/>
          <w:caps w:val="false"/>
          <w:smallCaps w:val="false"/>
          <w:sz w:val="20"/>
        </w:rPr>
        <w:t>. The Company and each Subsidiary is in compliance with any and all applicable requirements of the Sarbanes-Oxley Act of 2002, as amended, and any and all applicable rules and regulations promulgated by the SEC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b/>
          <w:caps w:val="false"/>
          <w:smallCaps w:val="false"/>
          <w:sz w:val="20"/>
        </w:rPr>
        <w:t>Transactions With Affiliates</w:t>
      </w:r>
      <w:r>
        <w:rPr>
          <w:rFonts w:ascii="Times New Roman" w:hAnsi="Times New Roman"/>
          <w:caps w:val="false"/>
          <w:smallCaps w:val="false"/>
          <w:sz w:val="20"/>
        </w:rPr>
        <w:t>. Except as disclosed in Section 3(q) of the Disclosure Schedule, no current or former employee, partner, director, officer or stockholder (direct or indirect) of the Company or its Subsidiaries, or any associate, or, to the knowledge of the Company, any affiliate of any thereof, or any relative with a relationship no more remote than first cousin of any of the foregoing, is presently, or within the last three (3) years has been, (i) a party to any transaction with the Company or its Subsidiaries (including any contract, agreement or other arrangement providing for the furnishing of services by, or rental of real or personal property from, or otherwise requiring payments to, any such director, officer or stockholder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common stock of a company whose securities are traded on or quoted through an Eligible Market (as defined in the Certificate of Designation)), nor does any such Person receive income from any source other than the Company or its Subsidiaries which relates to the business of the Company or its Subsidiaries or should properly accrue to the Company or its Subsidiaries. No employee, officer,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 (ii) reimbursement for reasonable expenses incurred on behalf of the Company, and (iii) for other standard employee benefits made generally available to all employees or executives (including stock option agreements outstanding under any stock option plan approved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b/>
          <w:caps w:val="false"/>
          <w:smallCaps w:val="false"/>
          <w:sz w:val="20"/>
        </w:rPr>
        <w:t>Equity Capitalization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Definition of Preferred Stock</w:t>
      </w:r>
      <w:r>
        <w:rPr>
          <w:rFonts w:ascii="Times New Roman" w:hAnsi="Times New Roman"/>
          <w:caps w:val="false"/>
          <w:smallCaps w:val="false"/>
          <w:sz w:val="20"/>
        </w:rPr>
        <w:t>. “</w:t>
      </w:r>
      <w:r>
        <w:rPr>
          <w:rFonts w:ascii="Times New Roman" w:hAnsi="Times New Roman"/>
          <w:b/>
          <w:caps w:val="false"/>
          <w:smallCaps w:val="false"/>
          <w:sz w:val="20"/>
        </w:rPr>
        <w:t>Preferred Stock</w:t>
      </w:r>
      <w:r>
        <w:rPr>
          <w:rFonts w:ascii="Times New Roman" w:hAnsi="Times New Roman"/>
          <w:caps w:val="false"/>
          <w:smallCaps w:val="false"/>
          <w:sz w:val="20"/>
        </w:rPr>
        <w:t>” means the Company’s blank check preferred stock, par value $0.001 per share, the terms of which may be designated by the Board in a certificate of designations and any capital stock into which such preferred stock shall have been changed or any share capital resulting from a reclassification of such preferred stock (other than a conversion of such preferred stock into Common Stock in accordance with the terms of such certificate of designations).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b/>
          <w:caps w:val="false"/>
          <w:smallCaps w:val="false"/>
          <w:sz w:val="20"/>
        </w:rPr>
        <w:t>Authorized and Outstanding Capital Stock</w:t>
      </w:r>
      <w:r>
        <w:rPr>
          <w:rFonts w:ascii="Times New Roman" w:hAnsi="Times New Roman"/>
          <w:caps w:val="false"/>
          <w:smallCaps w:val="false"/>
          <w:sz w:val="20"/>
        </w:rPr>
        <w:t>. As of the date hereof, the authorized capital stock of the Company consists of (A) 200,000,000 shares of Common Stock, of which 119,433,440 are issued and outstanding and approximately 75,636,044 shares are reserved for issuance pursuant to Common Stock Equivalents (as defined below) exercisable or exchangeable for, or convertible into, shares of Common Stock and (B) 5,000,000 shares of Preferred Stock, none of which are issued and outstanding. 3,108,369 shares of Common Stock are held in the treasury of the Company. “</w:t>
      </w:r>
      <w:r>
        <w:rPr>
          <w:rFonts w:ascii="Times New Roman" w:hAnsi="Times New Roman"/>
          <w:b/>
          <w:caps w:val="false"/>
          <w:smallCaps w:val="false"/>
          <w:sz w:val="20"/>
        </w:rPr>
        <w:t>Common Stock Equivalents</w:t>
      </w:r>
      <w:r>
        <w:rPr>
          <w:rFonts w:ascii="Times New Roman" w:hAnsi="Times New Roman"/>
          <w:caps w:val="false"/>
          <w:smallCaps w:val="false"/>
          <w:sz w:val="20"/>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b/>
          <w:caps w:val="false"/>
          <w:smallCaps w:val="false"/>
          <w:sz w:val="20"/>
        </w:rPr>
        <w:t>Valid Issuance; Available Shares; Affiliates</w:t>
      </w:r>
      <w:r>
        <w:rPr>
          <w:rFonts w:ascii="Times New Roman" w:hAnsi="Times New Roman"/>
          <w:caps w:val="false"/>
          <w:smallCaps w:val="false"/>
          <w:sz w:val="20"/>
        </w:rPr>
        <w:t>. All of such outstanding shares are duly authorized and have been, or upon issuance will be, validly issued and are fully paid and nonassessable. Section 3(r)(iii) of the Disclosure Schedule sets forth the number of shares of Common Stock that are (A) reserved for issuance pursuant to Common Stock Equivalents (other than the Preferred Shares and the New Penny Warrants) and (B) that are, as of the date hereof, owned by Persons who are “affiliates” (as defined in Rule 405 of the Securities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To the Company’s knowledge, except as set forth in Section 3(r) of the Disclosure Schedule, no Person owns 10% or more of the Company’s issued and outstanding shares of Common Stock (calculated based on the assumption that all Common Stock Equivalents,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b/>
          <w:caps w:val="false"/>
          <w:smallCaps w:val="false"/>
          <w:sz w:val="20"/>
        </w:rPr>
        <w:t>Existing Securities; Obligations</w:t>
      </w:r>
      <w:r>
        <w:rPr>
          <w:rFonts w:ascii="Times New Roman" w:hAnsi="Times New Roman"/>
          <w:caps w:val="false"/>
          <w:smallCaps w:val="false"/>
          <w:sz w:val="20"/>
        </w:rPr>
        <w:t>. Except as disclosed in Section 3(r) of the Disclosure Schedule: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Securities Act (except pursuant to Section 4(w));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“phantom stock” plans or agreements or any similar plan 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b/>
          <w:caps w:val="false"/>
          <w:smallCaps w:val="false"/>
          <w:sz w:val="20"/>
        </w:rPr>
        <w:t>Organizational Documents</w:t>
      </w:r>
      <w:r>
        <w:rPr>
          <w:rFonts w:ascii="Times New Roman" w:hAnsi="Times New Roman"/>
          <w:caps w:val="false"/>
          <w:smallCaps w:val="false"/>
          <w:sz w:val="20"/>
        </w:rPr>
        <w:t>. The SEC Documents contain the Company’s true, correct and complete copies of the Company’s Certificate of Incorporation, as amended and as in effect on the date hereof (the “</w:t>
      </w:r>
      <w:r>
        <w:rPr>
          <w:rFonts w:ascii="Times New Roman" w:hAnsi="Times New Roman"/>
          <w:b/>
          <w:caps w:val="false"/>
          <w:smallCaps w:val="false"/>
          <w:sz w:val="20"/>
        </w:rPr>
        <w:t>Certificate of Incorporation</w:t>
      </w:r>
      <w:r>
        <w:rPr>
          <w:rFonts w:ascii="Times New Roman" w:hAnsi="Times New Roman"/>
          <w:caps w:val="false"/>
          <w:smallCaps w:val="false"/>
          <w:sz w:val="20"/>
        </w:rPr>
        <w:t>”), and the Company’s bylaws, as amended and as in effect on the date hereof (the “</w:t>
      </w:r>
      <w:r>
        <w:rPr>
          <w:rFonts w:ascii="Times New Roman" w:hAnsi="Times New Roman"/>
          <w:b/>
          <w:caps w:val="false"/>
          <w:smallCaps w:val="false"/>
          <w:sz w:val="20"/>
        </w:rPr>
        <w:t>Bylaws</w:t>
      </w:r>
      <w:r>
        <w:rPr>
          <w:rFonts w:ascii="Times New Roman" w:hAnsi="Times New Roman"/>
          <w:caps w:val="false"/>
          <w:smallCaps w:val="false"/>
          <w:sz w:val="20"/>
        </w:rPr>
        <w:t>”), and the terms of all Common Stock Equivalents and the material rights of the holders thereof in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b/>
          <w:caps w:val="false"/>
          <w:smallCaps w:val="false"/>
          <w:sz w:val="20"/>
        </w:rPr>
        <w:t>Indebtedness and Other Contracts</w:t>
      </w:r>
      <w:r>
        <w:rPr>
          <w:rFonts w:ascii="Times New Roman" w:hAnsi="Times New Roman"/>
          <w:caps w:val="false"/>
          <w:smallCaps w:val="false"/>
          <w:sz w:val="20"/>
        </w:rPr>
        <w:t>. Neither the Company nor any of its Subsidiaries, except as disclosed in the SEC Documents, (i) has any outstanding debt securities, notes, credit agreements, credit facilities or other agreements, documents or instruments evidencing Indebtedness of the Company or any of its Subsidiaries or by which the Company or any of its Subsidiaries is or may become bound, (ii) is a party to any contract, agreement or instrument, the violation of which, or default under which, by the other party(ies) to such contract, agreement or instrument could reasonably be expected to result in a Material Adverse Effect, (iii) has any financing statements securing obligations in any amounts filed in connection with the Company or any of its Subsidiaries;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For purposes of this Agreement: “</w:t>
      </w:r>
      <w:r>
        <w:rPr>
          <w:rFonts w:ascii="Times New Roman" w:hAnsi="Times New Roman"/>
          <w:b/>
          <w:caps w:val="false"/>
          <w:smallCaps w:val="false"/>
          <w:sz w:val="20"/>
        </w:rPr>
        <w:t>Indebtedness</w:t>
      </w:r>
      <w:r>
        <w:rPr>
          <w:rFonts w:ascii="Times New Roman" w:hAnsi="Times New Roman"/>
          <w:caps w:val="false"/>
          <w:smallCaps w:val="false"/>
          <w:sz w:val="20"/>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 (y) ”</w:t>
      </w:r>
      <w:r>
        <w:rPr>
          <w:rFonts w:ascii="Times New Roman" w:hAnsi="Times New Roman"/>
          <w:b/>
          <w:caps w:val="false"/>
          <w:smallCaps w:val="false"/>
          <w:sz w:val="20"/>
        </w:rPr>
        <w:t>Contingent Obligation</w:t>
      </w:r>
      <w:r>
        <w:rPr>
          <w:rFonts w:ascii="Times New Roman" w:hAnsi="Times New Roman"/>
          <w:caps w:val="false"/>
          <w:smallCaps w:val="false"/>
          <w:sz w:val="20"/>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b/>
          <w:caps w:val="false"/>
          <w:smallCaps w:val="false"/>
          <w:sz w:val="20"/>
        </w:rPr>
        <w:t>Litigation</w:t>
      </w:r>
      <w:r>
        <w:rPr>
          <w:rFonts w:ascii="Times New Roman" w:hAnsi="Times New Roman"/>
          <w:caps w:val="false"/>
          <w:smallCaps w:val="false"/>
          <w:sz w:val="20"/>
        </w:rPr>
        <w:t>. Except as disclosed in Section 3(t) of the Disclosure Schedule, there is no action, suit, arbitration, proceeding, inquiry or investigation before or by the Principal Market, any court, public board, other Governmental Entity, self-regulatory organization or body pending or, to the Knowledge of the Company (as defined below), threatened against or affecting the Company or any of its Subsidiaries, the Common Stock or any of the Company’s or its Subsidiaries’ officers or directors, whether of a civil or criminal nature or otherwise, in their capacities as such, except as set forth in the SEC Documents or as would not reasonably be expected to result in a Material Adverse Effect.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Securities Act or the Exchange Act. To the Knowledge of the Company, the Company is not aware of any fact which might result in or form the basis for any such action, suit, arbitration, investigation, inquiry or other proceeding. Neither the Company nor any of its Subsidiaries is subject to any order, writ, judgment, injunction, decree, determination or award of any Governmental Entity. For purposes of this Agreement, “</w:t>
      </w:r>
      <w:r>
        <w:rPr>
          <w:rFonts w:ascii="Times New Roman" w:hAnsi="Times New Roman"/>
          <w:b/>
          <w:caps w:val="false"/>
          <w:smallCaps w:val="false"/>
          <w:sz w:val="20"/>
        </w:rPr>
        <w:t>Knowledge of the Company</w:t>
      </w:r>
      <w:r>
        <w:rPr>
          <w:rFonts w:ascii="Times New Roman" w:hAnsi="Times New Roman"/>
          <w:caps w:val="false"/>
          <w:smallCaps w:val="false"/>
          <w:sz w:val="20"/>
        </w:rPr>
        <w:t>” means the actual knowledge of the Company’s Chairperson, Chief Executive Officer, Chief Financial Officer and General Counsel, in each case after reasonable inquiry of all employees of the Company and its Subsidiaries under their direct supervision who would reasonably be expected to have knowledge or information with respect to the matter in question.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    </w:t>
      </w:r>
      <w:r>
        <w:rPr>
          <w:rFonts w:ascii="Times New Roman" w:hAnsi="Times New Roman"/>
          <w:b/>
          <w:caps w:val="false"/>
          <w:smallCaps w:val="false"/>
          <w:sz w:val="20"/>
        </w:rPr>
        <w:t>Insurance</w:t>
      </w:r>
      <w:r>
        <w:rPr>
          <w:rFonts w:ascii="Times New Roman" w:hAnsi="Times New Roman"/>
          <w:caps w:val="false"/>
          <w:smallCaps w:val="false"/>
          <w:sz w:val="20"/>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b/>
          <w:caps w:val="false"/>
          <w:smallCaps w:val="false"/>
          <w:sz w:val="20"/>
        </w:rPr>
        <w:t>Employee Relations</w:t>
      </w:r>
      <w:r>
        <w:rPr>
          <w:rFonts w:ascii="Times New Roman" w:hAnsi="Times New Roman"/>
          <w:caps w:val="false"/>
          <w:smallCaps w:val="false"/>
          <w:sz w:val="20"/>
        </w:rPr>
        <w:t>. Neither the Company nor any of its Subsidiaries is a party to any collective bargaining agreement or employs any member of a union. The Company and its Subsidiaries believe that their relations with their employees are good. Except as disclosed in 3(v) of the Disclosure Schedule, no executive officer (as defined in Rule 501(f) promulgated under the Securities Act) or other key employee of the Company or any of its Subsidiaries has notified the Company or any such Subsidiary that such officer intends to leave the Company or any such Subsidiary or otherwise terminate such officer’s employment with the Company or any such Subsidiary. No current (or former)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    </w:t>
      </w:r>
      <w:r>
        <w:rPr>
          <w:rFonts w:ascii="Times New Roman" w:hAnsi="Times New Roman"/>
          <w:b/>
          <w:caps w:val="false"/>
          <w:smallCaps w:val="false"/>
          <w:sz w:val="20"/>
        </w:rPr>
        <w:t>Title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Real Property</w:t>
      </w:r>
      <w:r>
        <w:rPr>
          <w:rFonts w:ascii="Times New Roman" w:hAnsi="Times New Roman"/>
          <w:caps w:val="false"/>
          <w:smallCaps w:val="false"/>
          <w:sz w:val="20"/>
        </w:rPr>
        <w:t>. Each of the Company and its Subsidiaries holds good title to all real property, leases in real property, facilities or other interests in real property owned or held by the Company or any of its Subsidiaries (the “</w:t>
      </w:r>
      <w:r>
        <w:rPr>
          <w:rFonts w:ascii="Times New Roman" w:hAnsi="Times New Roman"/>
          <w:b/>
          <w:caps w:val="false"/>
          <w:smallCaps w:val="false"/>
          <w:sz w:val="20"/>
        </w:rPr>
        <w:t>Real Property</w:t>
      </w:r>
      <w:r>
        <w:rPr>
          <w:rFonts w:ascii="Times New Roman" w:hAnsi="Times New Roman"/>
          <w:caps w:val="false"/>
          <w:smallCaps w:val="false"/>
          <w:sz w:val="20"/>
        </w:rPr>
        <w:t>”) in connection with the conduct of its business. The Real Property is free and clear of all Liens and is not subject to any rights of way, building use restrictions, exceptions, variances, reservations, or limitations of any nature except for (a) Liens for current Taxes not yet due and (b) zoning laws and other land use restrictions that do not impair the present or anticipated use of the property subject thereto. Any Real Property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b/>
          <w:caps w:val="false"/>
          <w:smallCaps w:val="false"/>
          <w:sz w:val="20"/>
        </w:rPr>
        <w:t>Fixtures and Equipment</w:t>
      </w:r>
      <w:r>
        <w:rPr>
          <w:rFonts w:ascii="Times New Roman" w:hAnsi="Times New Roman"/>
          <w:caps w:val="false"/>
          <w:smallCaps w:val="false"/>
          <w:sz w:val="20"/>
        </w:rPr>
        <w:t>. Each of the Company and its Subsidiaries (as applicable) has good title to, or a valid leasehold interest in, the tangible personal property, equipment, improvements, fixtures, and other personal property and appurtenances that are used by the Company or its Subsidiary in connection with the conduct of its business (the “</w:t>
      </w:r>
      <w:r>
        <w:rPr>
          <w:rFonts w:ascii="Times New Roman" w:hAnsi="Times New Roman"/>
          <w:b/>
          <w:caps w:val="false"/>
          <w:smallCaps w:val="false"/>
          <w:sz w:val="20"/>
        </w:rPr>
        <w:t>Fixtures and Equipment</w:t>
      </w:r>
      <w:r>
        <w:rPr>
          <w:rFonts w:ascii="Times New Roman" w:hAnsi="Times New Roman"/>
          <w:caps w:val="false"/>
          <w:smallCaps w:val="false"/>
          <w:sz w:val="20"/>
        </w:rPr>
        <w:t>”).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such Closing. Each of the Company and its Subsidiaries owns all of its Fixtures and Equipment free and clear of all Liens except for (a) Liens for current Taxes not yet due and (b) zoning laws and other land use restrictions that do not impair the present or anticipated use of the property subject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(x)    </w:t>
      </w:r>
      <w:r>
        <w:rPr>
          <w:rFonts w:ascii="Times New Roman" w:hAnsi="Times New Roman"/>
          <w:b/>
          <w:caps w:val="false"/>
          <w:smallCaps w:val="false"/>
          <w:sz w:val="20"/>
        </w:rPr>
        <w:t>Intellectual Property Rights</w:t>
      </w:r>
      <w:r>
        <w:rPr>
          <w:rFonts w:ascii="Times New Roman" w:hAnsi="Times New Roman"/>
          <w:caps w:val="false"/>
          <w:smallCaps w:val="false"/>
          <w:sz w:val="20"/>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hAnsi="Times New Roman"/>
          <w:b/>
          <w:caps w:val="false"/>
          <w:smallCaps w:val="false"/>
          <w:sz w:val="20"/>
        </w:rPr>
        <w:t>Intellectual Property Rights</w:t>
      </w:r>
      <w:r>
        <w:rPr>
          <w:rFonts w:ascii="Times New Roman" w:hAnsi="Times New Roman"/>
          <w:caps w:val="false"/>
          <w:smallCaps w:val="false"/>
          <w:sz w:val="20"/>
        </w:rPr>
        <w:t>”) necessary to conduct their respective businesses as now conducted and presently proposed to be conducted, except as would not, individually or in the aggregate, reasonably be expected to result in a Material Adverse Effect. Except as disclosed in the SEC Documents, none of the Company’s Intellectual Property Rights have expired or terminated or have been abandoned or are expected to expire or terminate or are expected to be abandoned, within three years from the date of this Agreement, except to the extent that such expiration, termination or abandonment would not reasonably be expected to be material to the conduct of the Company’s business. The Company does not have any knowledge of any infringement by the Company or its Subsidiaries of Intellectual Property Rights of others. There is no claim, action or proceeding being made or brought, or to the knowledge of the Company or any of its Subsidiaries, being threatened, against the Company or any of its Subsidiaries regarding its Intellectual Property Rights. Neither the Company nor any of its Subsidiaries is aware of any facts or circumstances which might give rise to any of the foregoing infringements or claims, actions or proceedings. The Company and its Subsidiaries have taken commercially reasonable security measures to protect the secrecy, confidentiality and value of all of their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    </w:t>
      </w:r>
      <w:r>
        <w:rPr>
          <w:rFonts w:ascii="Times New Roman" w:hAnsi="Times New Roman"/>
          <w:b/>
          <w:caps w:val="false"/>
          <w:smallCaps w:val="false"/>
          <w:sz w:val="20"/>
        </w:rPr>
        <w:t>Environmental Laws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The Company and its Subsidiaries (A) are in compliance with any and all Environmental Laws (as defined below), (B) have received all permits, licenses or other approvals required of them under applicable Environmental Laws to conduct their respective businesses and (C) are in compliance with all terms and conditions of any such permit, license or approval where, in each of the foregoing clauses (A), (B) and (C), the failure to so comply could be reasonably expected to have, individually or in the aggregate, a Material Adverse Effect. The term “</w:t>
      </w:r>
      <w:r>
        <w:rPr>
          <w:rFonts w:ascii="Times New Roman" w:hAnsi="Times New Roman"/>
          <w:b/>
          <w:caps w:val="false"/>
          <w:smallCaps w:val="false"/>
          <w:sz w:val="20"/>
        </w:rPr>
        <w:t>Environmental Laws</w:t>
      </w:r>
      <w:r>
        <w:rPr>
          <w:rFonts w:ascii="Times New Roman" w:hAnsi="Times New Roman"/>
          <w:caps w:val="false"/>
          <w:smallCaps w:val="false"/>
          <w:sz w:val="20"/>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hAnsi="Times New Roman"/>
          <w:b/>
          <w:caps w:val="false"/>
          <w:smallCaps w:val="false"/>
          <w:sz w:val="20"/>
        </w:rPr>
        <w:t>Hazardous Materials</w:t>
      </w:r>
      <w:r>
        <w:rPr>
          <w:rFonts w:ascii="Times New Roman" w:hAnsi="Times New Roman"/>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No Hazardous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    have been disposed of or otherwise released from any Real Property of the Company or any of its Subsidiaries in violation of any Environmental Laws, except for any such disposal or release that would not reasonably be expected to have, individually or in the aggregate, a Material Adverse Effect;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    are present on, over, beneath, in or upon any Real Property or any portion thereof in quantities that would constitute a violation of any Environmental Laws. No prior use by the Company or any of its Subsidiaries of any Real Property has occurred that violates any Environmental Laws, which violation would have a Material Adverse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Neither the Company nor any of its Subsidiaries knows of any other person who or entity which has stored, treated, recycled, disposed of or otherwise located on any Real Property any Hazardous Materials, including, without limitation, such substances as asbestos and polychlorinated biphenyls, in each case, that would reasonably be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None of the Real Properties are on any federal or state “</w:t>
      </w:r>
      <w:r>
        <w:rPr>
          <w:rFonts w:ascii="Times New Roman" w:hAnsi="Times New Roman"/>
          <w:b/>
          <w:caps w:val="false"/>
          <w:smallCaps w:val="false"/>
          <w:sz w:val="20"/>
        </w:rPr>
        <w:t>Superfund</w:t>
      </w:r>
      <w:r>
        <w:rPr>
          <w:rFonts w:ascii="Times New Roman" w:hAnsi="Times New Roman"/>
          <w:caps w:val="false"/>
          <w:smallCaps w:val="false"/>
          <w:sz w:val="20"/>
        </w:rPr>
        <w:t>” list or Liability Information System (“</w:t>
      </w:r>
      <w:r>
        <w:rPr>
          <w:rFonts w:ascii="Times New Roman" w:hAnsi="Times New Roman"/>
          <w:b/>
          <w:caps w:val="false"/>
          <w:smallCaps w:val="false"/>
          <w:sz w:val="20"/>
        </w:rPr>
        <w:t>CERCLIS</w:t>
      </w:r>
      <w:r>
        <w:rPr>
          <w:rFonts w:ascii="Times New Roman" w:hAnsi="Times New Roman"/>
          <w:caps w:val="false"/>
          <w:smallCaps w:val="false"/>
          <w:sz w:val="20"/>
        </w:rPr>
        <w:t>”) list or any state environmental agency list of sites under consideration for CERCLIS, nor subject to any environmental related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(z)    </w:t>
      </w:r>
      <w:r>
        <w:rPr>
          <w:rFonts w:ascii="Times New Roman" w:hAnsi="Times New Roman"/>
          <w:b/>
          <w:caps w:val="false"/>
          <w:smallCaps w:val="false"/>
          <w:sz w:val="20"/>
        </w:rPr>
        <w:t>Subsidiary Rights</w:t>
      </w:r>
      <w:r>
        <w:rPr>
          <w:rFonts w:ascii="Times New Roman" w:hAnsi="Times New Roman"/>
          <w:caps w:val="false"/>
          <w:smallCaps w:val="false"/>
          <w:sz w:val="20"/>
        </w:rPr>
        <w:t>. The Company or one of its Subsidiaries has the unrestricted right to vote, and (subject to limitations imposed by applicable law) to receive dividends and distributions on, all capital securities of its Subsidiaries owned by the Company or such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(aa)    </w:t>
      </w:r>
      <w:r>
        <w:rPr>
          <w:rFonts w:ascii="Times New Roman" w:hAnsi="Times New Roman"/>
          <w:b/>
          <w:caps w:val="false"/>
          <w:smallCaps w:val="false"/>
          <w:sz w:val="20"/>
        </w:rPr>
        <w:t>Tax Status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The Company and each of its Subsidiaries (i) has timely made or filed all material non-U.S., federal state, and local income and all other tax returns, reports and declarations required by any jurisdiction to which it is subject and all such tax returns were correct and complete in all material respects, (ii) is not currently the beneficiary of an extension of time within which to file any material tax return, (iii) has timely paid material non-U.S., federal, state, local, or other taxes, including, without limitation, income taxes, estimated taxes, excise taxes, sales taxes, use taxes, gross receipts taxes, franchise taxes, employment and payroll related taxes, withholding taxes, stamp taxes, transfer and property taxes, or other tax of any kind whatsoever, whether or not measured in whole or in part by net income, including any interest, penalty, or addition thereto, whether disputed or not (collectively, “</w:t>
      </w:r>
      <w:r>
        <w:rPr>
          <w:rFonts w:ascii="Times New Roman" w:hAnsi="Times New Roman"/>
          <w:b/>
          <w:caps w:val="false"/>
          <w:smallCaps w:val="false"/>
          <w:sz w:val="20"/>
        </w:rPr>
        <w:t>Taxes</w:t>
      </w:r>
      <w:r>
        <w:rPr>
          <w:rFonts w:ascii="Times New Roman" w:hAnsi="Times New Roman"/>
          <w:caps w:val="false"/>
          <w:smallCaps w:val="false"/>
          <w:sz w:val="20"/>
        </w:rPr>
        <w:t>”) required to be paid by it through the date hereof, and (iv) has set aside on its books provision reasonably adequate for the payment of all taxes for periods subsequent to the periods to which such returns, reports or declarations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There are no material unpaid Taxes claimed to be due by the taxing authority of any jurisdiction, and the officers of the Company and its Subsidiaries know of no basis for any such claim. For purposes of this Section 3(aa), “</w:t>
      </w:r>
      <w:r>
        <w:rPr>
          <w:rFonts w:ascii="Times New Roman" w:hAnsi="Times New Roman"/>
          <w:b/>
          <w:caps w:val="false"/>
          <w:smallCaps w:val="false"/>
          <w:sz w:val="20"/>
        </w:rPr>
        <w:t>knowledge</w:t>
      </w:r>
      <w:r>
        <w:rPr>
          <w:rFonts w:ascii="Times New Roman" w:hAnsi="Times New Roman"/>
          <w:caps w:val="false"/>
          <w:smallCaps w:val="false"/>
          <w:sz w:val="20"/>
        </w:rPr>
        <w:t>,” including the phrase “to the Company’s knowledge,” shall mean the knowledge of the officers of the Company after reasonable inquiry of the senior employees of the Company under their direct supervision who would reasonably be expected to have knowledge or information with respect to the matter in question and after reasonable investigation by such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Neither the Internal Revenue Service nor any other governmental authority is now asserting or, to the knowledge of the Company, threatening to assert against the Company or any Subsidiary any deficiency or claim for additional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No claim has ever been made in writing to the Company by a Tax authority in a jurisdiction where the Company does not file Tax Returns that the Company is or may be subject to taxation by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For each Subsidiary, no claim has ever been made in writing to the Company or such Subsidiary by a Tax authority in a jurisdiction where such Subsidiary does not file Tax Returns that such Subsidiary is or may be subject to taxation by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Neither the Company nor any Subsidiary has waived any statute of limitations in respect of Taxes or agreed to any extension of time with respect to a material Tax assessment or deficiency which (after giving effect to such waiver or extension) has not yet expired.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There are no material liens or other security interests encumbering any of the assets of the Company or any Subsidiary that arose in connection with any failure (or alleged failure) to pay any Taxes (except where such security interests arise as a matter of law prior to the due date for paying the related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(viii)    There has never been any audit by a Tax authority of any Tax Return filed by the Company or any Subsidiary, and neither the Company nor any Subsidiary has been notified in writing by any Tax authority that any such audit is contemplated or pending that remains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(ix)    Neither the Company nor any Subsidiary is a party to any Tax allocation, Tax sharing or similar agreement other than any agreement entered into in the ordinary course of business practice the principal purpose of which is not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    The Company is not a passive foreign investment company, as defined in Section 1297 of the Internal Revenue Code of 1986, as amended (the “</w:t>
      </w:r>
      <w:r>
        <w:rPr>
          <w:rFonts w:ascii="Times New Roman" w:hAnsi="Times New Roman"/>
          <w:b/>
          <w:caps w:val="false"/>
          <w:smallCaps w:val="false"/>
          <w:sz w:val="20"/>
        </w:rPr>
        <w:t>Code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    The fair market value of the Preferred Shares and the New Penny Warrants is no less than the $55,000,000 and is not expected to result in any cancellation of debt income pursuant to Section 108(e)(8)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(bb)    </w:t>
      </w:r>
      <w:r>
        <w:rPr>
          <w:rFonts w:ascii="Times New Roman" w:hAnsi="Times New Roman"/>
          <w:b/>
          <w:caps w:val="false"/>
          <w:smallCaps w:val="false"/>
          <w:sz w:val="20"/>
        </w:rPr>
        <w:t>Internal Accounting and Disclosure Controls</w:t>
      </w:r>
      <w:r>
        <w:rPr>
          <w:rFonts w:ascii="Times New Roman" w:hAnsi="Times New Roman"/>
          <w:caps w:val="false"/>
          <w:smallCaps w:val="false"/>
          <w:sz w:val="20"/>
        </w:rPr>
        <w:t>. Except as set forth in Section 3(bb) of the Disclosure Schedule, the Company and each of its Subsidiaries maintains internal control over financial reporting (as such term is defined in Rule 13a-15(f) under the Exchange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Exchange Act) that are effective in ensuring that information required to be disclosed by the Company in the reports that it files or submits under the Exchange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or officers and its principal financial officer or officers, as appropriate, to allow timely decisions regarding required disclosure. Except as set forth in Section 3(bb) of the Disclosure Schedule, the Company has not received any notice or correspondence from any accountant, Governmental Entity or other Person relating to any material weakness or significant deficiency in any part of the internal controls over financial reporting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(cc)    </w:t>
      </w:r>
      <w:r>
        <w:rPr>
          <w:rFonts w:ascii="Times New Roman" w:hAnsi="Times New Roman"/>
          <w:b/>
          <w:caps w:val="false"/>
          <w:smallCaps w:val="false"/>
          <w:sz w:val="20"/>
        </w:rPr>
        <w:t>Off Balance Sheet Arrangements</w:t>
      </w:r>
      <w:r>
        <w:rPr>
          <w:rFonts w:ascii="Times New Roman" w:hAnsi="Times New Roman"/>
          <w:caps w:val="false"/>
          <w:smallCaps w:val="false"/>
          <w:sz w:val="20"/>
        </w:rPr>
        <w:t>. There is no transaction, arrangement, or other relationship between the Company or any of its Subsidiaries and an unconsolidated or other off balance sheet entity that is required to be disclosed by the Company in its Exchange Act filings and is not so disclosed or that otherwise could be reasonably likely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(dd)    </w:t>
      </w:r>
      <w:r>
        <w:rPr>
          <w:rFonts w:ascii="Times New Roman" w:hAnsi="Times New Roman"/>
          <w:b/>
          <w:caps w:val="false"/>
          <w:smallCaps w:val="false"/>
          <w:sz w:val="20"/>
        </w:rPr>
        <w:t>Investment Company Status</w:t>
      </w:r>
      <w:r>
        <w:rPr>
          <w:rFonts w:ascii="Times New Roman" w:hAnsi="Times New Roman"/>
          <w:caps w:val="false"/>
          <w:smallCaps w:val="false"/>
          <w:sz w:val="20"/>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(ee)    </w:t>
      </w:r>
      <w:r>
        <w:rPr>
          <w:rFonts w:ascii="Times New Roman" w:hAnsi="Times New Roman"/>
          <w:b/>
          <w:caps w:val="false"/>
          <w:smallCaps w:val="false"/>
          <w:sz w:val="20"/>
        </w:rPr>
        <w:t>Acknowledgement Regarding Investors</w:t>
      </w:r>
      <w:r>
        <w:rPr>
          <w:rFonts w:ascii="Times New Roman" w:hAnsi="Times New Roman"/>
          <w:caps w:val="false"/>
          <w:smallCaps w:val="false"/>
          <w:sz w:val="20"/>
        </w:rPr>
        <w:t xml:space="preserve">’ </w:t>
      </w:r>
      <w:r>
        <w:rPr>
          <w:rFonts w:ascii="Times New Roman" w:hAnsi="Times New Roman"/>
          <w:b/>
          <w:caps w:val="false"/>
          <w:smallCaps w:val="false"/>
          <w:sz w:val="20"/>
        </w:rPr>
        <w:t>Trading Activity</w:t>
      </w:r>
      <w:r>
        <w:rPr>
          <w:rFonts w:ascii="Times New Roman" w:hAnsi="Times New Roman"/>
          <w:caps w:val="false"/>
          <w:smallCaps w:val="false"/>
          <w:sz w:val="20"/>
        </w:rPr>
        <w:t>. It is understood and acknowledged by the Company that (i) following the public disclosure of the transactions contemplated by the Transaction Documents, in accordance with the terms thereof, none of the Investors have been asked by the Company or any of its Subsidiaries to agree, nor has any Investor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any Investor, and counterparties in “derivative” transactions to which any such Investor is a party, directly or indirectly, presently may have a “short” position in the Common Stock which was established prior to such Investor’s knowledge of the transactions contemplated by the Transaction Documents; (iii) each Investor shall not be deemed to have any affiliation with or control over any arm’s length counterparty in any “derivative” transaction; and (iv) each Investor may rely on the Company’s obligation to timely deliver shares of Common Stock upon conversion, exercise or exchange, as applicable, of the Securities as and when required pursuant to the Transaction Documents for purposes of effecting trading in the Common Stock of the Company. The Company further understands and acknowledges that following the public disclosure of the transactions contemplated by the Transaction Documents pursuant to the applicable 8-K Filing (as defined below) one or more Investors may engage in hedging and/or trading activities (including, without limitation, the location and/or reservation of borrowable shares of Common Stock) at various times during the period that the Securities are outstanding, including, without limitation, during the periods that the value and/or number of the New Penny Warrant Shares and/or Conversion Shares, as applicable, deliverable with respect to the Securities are being determined and such hedging and/or trading activities (including, without limitation, the location and/or reservation of borrowable shares of Common Stock),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the Certificate of Designation, the New Penny Warrants or any other Transaction Document or any of the documents executed in connection herewith or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(ff)    </w:t>
      </w:r>
      <w:r>
        <w:rPr>
          <w:rFonts w:ascii="Times New Roman" w:hAnsi="Times New Roman"/>
          <w:b/>
          <w:caps w:val="false"/>
          <w:smallCaps w:val="false"/>
          <w:sz w:val="20"/>
        </w:rPr>
        <w:t>Manipulation of Price</w:t>
      </w:r>
      <w:r>
        <w:rPr>
          <w:rFonts w:ascii="Times New Roman" w:hAnsi="Times New Roman"/>
          <w:caps w:val="false"/>
          <w:smallCaps w:val="false"/>
          <w:sz w:val="20"/>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(gg)    </w:t>
      </w:r>
      <w:r>
        <w:rPr>
          <w:rFonts w:ascii="Times New Roman" w:hAnsi="Times New Roman"/>
          <w:b/>
          <w:caps w:val="false"/>
          <w:smallCaps w:val="false"/>
          <w:sz w:val="20"/>
        </w:rPr>
        <w:t>U.S. Real Property Holding Corporation</w:t>
      </w:r>
      <w:r>
        <w:rPr>
          <w:rFonts w:ascii="Times New Roman" w:hAnsi="Times New Roman"/>
          <w:caps w:val="false"/>
          <w:smallCaps w:val="false"/>
          <w:sz w:val="20"/>
        </w:rPr>
        <w:t>. Neither the Company nor any of its Subsidiaries is, or has ever been, a U.S. real property holding corporation within the meaning of Section 897 of the Code (a “</w:t>
      </w:r>
      <w:r>
        <w:rPr>
          <w:rFonts w:ascii="Times New Roman" w:hAnsi="Times New Roman"/>
          <w:b/>
          <w:caps w:val="false"/>
          <w:smallCaps w:val="false"/>
          <w:sz w:val="20"/>
        </w:rPr>
        <w:t>USRPHC</w:t>
      </w:r>
      <w:r>
        <w:rPr>
          <w:rFonts w:ascii="Times New Roman" w:hAnsi="Times New Roman"/>
          <w:caps w:val="false"/>
          <w:smallCaps w:val="false"/>
          <w:sz w:val="20"/>
        </w:rPr>
        <w:t>”), and the Company and each Subsidiary shall so certify upon any Investor’s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(hh)    </w:t>
      </w:r>
      <w:r>
        <w:rPr>
          <w:rFonts w:ascii="Times New Roman" w:hAnsi="Times New Roman"/>
          <w:b/>
          <w:caps w:val="false"/>
          <w:smallCaps w:val="false"/>
          <w:sz w:val="20"/>
        </w:rPr>
        <w:t>Registration Eligibility</w:t>
      </w:r>
      <w:r>
        <w:rPr>
          <w:rFonts w:ascii="Times New Roman" w:hAnsi="Times New Roman"/>
          <w:caps w:val="false"/>
          <w:smallCaps w:val="false"/>
          <w:sz w:val="20"/>
        </w:rPr>
        <w:t>. As of the date hereof, the Company is eligible to register the Conversion Shares issuable upon the conversion of the Convertible Preferred Stock and the shares of Common Stock issuable upon exercise of the New Penny Warrants (together, the “</w:t>
      </w:r>
      <w:r>
        <w:rPr>
          <w:rFonts w:ascii="Times New Roman" w:hAnsi="Times New Roman"/>
          <w:b/>
          <w:caps w:val="false"/>
          <w:smallCaps w:val="false"/>
          <w:sz w:val="20"/>
        </w:rPr>
        <w:t>Registrable Securities</w:t>
      </w:r>
      <w:r>
        <w:rPr>
          <w:rFonts w:ascii="Times New Roman" w:hAnsi="Times New Roman"/>
          <w:caps w:val="false"/>
          <w:smallCaps w:val="false"/>
          <w:sz w:val="20"/>
        </w:rPr>
        <w:t>”) for resale by the Investors using Form S-1 promulgated under the Securities Act. The Company is not aware of any facts or circumstances that would reasonably be expected to prevent the Company from filing a registration statement for a shelf registration on Form S-1 in accordance with Section 4(w).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b/>
          <w:caps w:val="false"/>
          <w:smallCaps w:val="false"/>
          <w:sz w:val="20"/>
        </w:rPr>
        <w:t>Transfer Taxes</w:t>
      </w:r>
      <w:r>
        <w:rPr>
          <w:rFonts w:ascii="Times New Roman" w:hAnsi="Times New Roman"/>
          <w:caps w:val="false"/>
          <w:smallCaps w:val="false"/>
          <w:sz w:val="20"/>
        </w:rPr>
        <w:t>. On the Closing Date, all stock transfer or other Taxes (other than income or similar Taxes) which are required to be paid in connection with the issuance, sale and transfer of the Securities to be sold to each Investor hereunder will be, or will have been, fully paid or provided for by the Company, and all laws imposing such Taxes will be or will have been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(jj)    </w:t>
      </w:r>
      <w:r>
        <w:rPr>
          <w:rFonts w:ascii="Times New Roman" w:hAnsi="Times New Roman"/>
          <w:b/>
          <w:caps w:val="false"/>
          <w:smallCaps w:val="false"/>
          <w:sz w:val="20"/>
        </w:rPr>
        <w:t>Bank Holding Company Act</w:t>
      </w:r>
      <w:r>
        <w:rPr>
          <w:rFonts w:ascii="Times New Roman" w:hAnsi="Times New Roman"/>
          <w:caps w:val="false"/>
          <w:smallCaps w:val="false"/>
          <w:sz w:val="20"/>
        </w:rPr>
        <w:t>. Neither the Company nor any of its Subsidiaries is subject to the Bank Holding Company Act of 1956, as amended (the “</w:t>
      </w:r>
      <w:r>
        <w:rPr>
          <w:rFonts w:ascii="Times New Roman" w:hAnsi="Times New Roman"/>
          <w:b/>
          <w:caps w:val="false"/>
          <w:smallCaps w:val="false"/>
          <w:sz w:val="20"/>
        </w:rPr>
        <w:t>BHCA</w:t>
      </w:r>
      <w:r>
        <w:rPr>
          <w:rFonts w:ascii="Times New Roman" w:hAnsi="Times New Roman"/>
          <w:caps w:val="false"/>
          <w:smallCaps w:val="false"/>
          <w:sz w:val="20"/>
        </w:rPr>
        <w:t>”) and to regulation by the Board of Governors of the Federal Reserve System (the “</w:t>
      </w:r>
      <w:r>
        <w:rPr>
          <w:rFonts w:ascii="Times New Roman" w:hAnsi="Times New Roman"/>
          <w:b/>
          <w:caps w:val="false"/>
          <w:smallCaps w:val="false"/>
          <w:sz w:val="20"/>
        </w:rPr>
        <w:t>Federal Reserve</w:t>
      </w:r>
      <w:r>
        <w:rPr>
          <w:rFonts w:ascii="Times New Roman" w:hAnsi="Times New Roman"/>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(kk)    </w:t>
      </w:r>
      <w:r>
        <w:rPr>
          <w:rFonts w:ascii="Times New Roman" w:hAnsi="Times New Roman"/>
          <w:b/>
          <w:caps w:val="false"/>
          <w:smallCaps w:val="false"/>
          <w:sz w:val="20"/>
        </w:rPr>
        <w:t>Shell Company Status</w:t>
      </w:r>
      <w:r>
        <w:rPr>
          <w:rFonts w:ascii="Times New Roman" w:hAnsi="Times New Roman"/>
          <w:caps w:val="false"/>
          <w:smallCaps w:val="false"/>
          <w:sz w:val="20"/>
        </w:rPr>
        <w:t>. The Company is not currently an issuer identified in, or subject to, Rule 144(i).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(ll)    </w:t>
      </w:r>
      <w:r>
        <w:rPr>
          <w:rFonts w:ascii="Times New Roman" w:hAnsi="Times New Roman"/>
          <w:b/>
          <w:caps w:val="false"/>
          <w:smallCaps w:val="false"/>
          <w:sz w:val="20"/>
        </w:rPr>
        <w:t>Illegal or Unauthorized Payments; Political Contributions</w:t>
      </w:r>
      <w:r>
        <w:rPr>
          <w:rFonts w:ascii="Times New Roman" w:hAnsi="Times New Roman"/>
          <w:caps w:val="false"/>
          <w:smallCaps w:val="false"/>
          <w:sz w:val="20"/>
        </w:rPr>
        <w:t>. Neither the Company nor any of its Subsidiaries nor, to the best of the Company’s knowledge (after reasonable inquiry of its officers and directors),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(mm)    </w:t>
      </w:r>
      <w:r>
        <w:rPr>
          <w:rFonts w:ascii="Times New Roman" w:hAnsi="Times New Roman"/>
          <w:b/>
          <w:caps w:val="false"/>
          <w:smallCaps w:val="false"/>
          <w:sz w:val="20"/>
        </w:rPr>
        <w:t>Money Laundering</w:t>
      </w:r>
      <w:r>
        <w:rPr>
          <w:rFonts w:ascii="Times New Roman" w:hAnsi="Times New Roman"/>
          <w:caps w:val="false"/>
          <w:smallCaps w:val="false"/>
          <w:sz w:val="20"/>
        </w:rPr>
        <w:t>.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 (ii) any regulations contained in 31 CFR, Subtitle B, Chapter 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(nn)    </w:t>
      </w:r>
      <w:r>
        <w:rPr>
          <w:rFonts w:ascii="Times New Roman" w:hAnsi="Times New Roman"/>
          <w:b/>
          <w:caps w:val="false"/>
          <w:smallCaps w:val="false"/>
          <w:sz w:val="20"/>
        </w:rPr>
        <w:t>Management</w:t>
      </w:r>
      <w:r>
        <w:rPr>
          <w:rFonts w:ascii="Times New Roman" w:hAnsi="Times New Roman"/>
          <w:caps w:val="false"/>
          <w:smallCaps w:val="false"/>
          <w:sz w:val="20"/>
        </w:rPr>
        <w:t>. Except as set forth in the SEC Documents, no current or former officer or director of the Company (with respect to any former officer or director, solely during the time they were serving as an officer of the Company) has, during the last five years, been the subject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a petition under bankruptcy laws or any other insolvency or moratorium law or the appointment by a court of a receiver, fiscal agent or similar officer for such Person, or any partnership in which such person was a general partner at or within two years before the filing of such petition or such appointment, or any corporation or business association of which such person was an executive officer at or within two years before the time of the filing of such petition or such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a conviction in a criminal proceeding or a named subject of a pending criminal proceeding (excluding traffic violations that do not relate to driving while intoxicated or driving under the influence);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any order, judgment or decree, not subsequently reversed, suspended or vacated, of any court of competent jurisdiction, permanently or temporarily enjoining any such person from, or otherwise limiting, the following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(1)    Acting as a futures commission merchant, introducing broker, commodity trading advisor, commodity pool operator, floor broker, leverage transaction merchant, any other person regulated by the United States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(2)    Engaging in any particular type of business practice;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(3)    Engaging in any activity in connection with the purchase or sale of any security or commodity or in connection with any violation of securities laws or commodities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any order, judgment or decree, not subsequently reversed, suspended or vacated, of any authority barring, suspending or otherwise limiting for more than sixty (60) days the right of any such person to engage in any activity described in the preceding sub paragraph, or to be associated with persons engaged in any such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a finding by a court of competent jurisdiction in a civil action or by the Commodity Futures Trading Commission to have violated any federal commodities law, and the judgment in such civil action or finding has not been subsequently reversed, suspended or vacated.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(oo)    </w:t>
      </w:r>
      <w:r>
        <w:rPr>
          <w:rFonts w:ascii="Times New Roman" w:hAnsi="Times New Roman"/>
          <w:b/>
          <w:caps w:val="false"/>
          <w:smallCaps w:val="false"/>
          <w:sz w:val="20"/>
        </w:rPr>
        <w:t>Stock Option Plans</w:t>
      </w:r>
      <w:r>
        <w:rPr>
          <w:rFonts w:ascii="Times New Roman" w:hAnsi="Times New Roman"/>
          <w:caps w:val="false"/>
          <w:smallCaps w:val="false"/>
          <w:sz w:val="20"/>
        </w:rPr>
        <w:t>. Each stock option granted by the Company was granted (i) in accordance with the terms of the applicable stock option plan of the Company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policy or practice of the Company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(pp)    </w:t>
      </w:r>
      <w:r>
        <w:rPr>
          <w:rFonts w:ascii="Times New Roman" w:hAnsi="Times New Roman"/>
          <w:b/>
          <w:caps w:val="false"/>
          <w:smallCaps w:val="false"/>
          <w:sz w:val="20"/>
        </w:rPr>
        <w:t>No Disagreements with Accountants and Lawyers</w:t>
      </w:r>
      <w:r>
        <w:rPr>
          <w:rFonts w:ascii="Times New Roman" w:hAnsi="Times New Roman"/>
          <w:caps w:val="false"/>
          <w:smallCaps w:val="false"/>
          <w:sz w:val="20"/>
        </w:rPr>
        <w:t>. There are no material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(qq)    </w:t>
      </w:r>
      <w:r>
        <w:rPr>
          <w:rFonts w:ascii="Times New Roman" w:hAnsi="Times New Roman"/>
          <w:b/>
          <w:caps w:val="false"/>
          <w:smallCaps w:val="false"/>
          <w:sz w:val="20"/>
        </w:rPr>
        <w:t>No Disqualification Events</w:t>
      </w:r>
      <w:r>
        <w:rPr>
          <w:rFonts w:ascii="Times New Roman" w:hAnsi="Times New Roman"/>
          <w:caps w:val="false"/>
          <w:smallCaps w:val="false"/>
          <w:sz w:val="20"/>
        </w:rPr>
        <w:t>. With respect to Securities to be offered and sold hereunder in reliance on Rule 506(b) under the Securities Act (“</w:t>
      </w:r>
      <w:r>
        <w:rPr>
          <w:rFonts w:ascii="Times New Roman" w:hAnsi="Times New Roman"/>
          <w:b/>
          <w:caps w:val="false"/>
          <w:smallCaps w:val="false"/>
          <w:sz w:val="20"/>
        </w:rPr>
        <w:t>Regulation D Securities</w:t>
      </w:r>
      <w:r>
        <w:rPr>
          <w:rFonts w:ascii="Times New Roman" w:hAnsi="Times New Roman"/>
          <w:caps w:val="false"/>
          <w:smallCaps w:val="false"/>
          <w:sz w:val="20"/>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hAnsi="Times New Roman"/>
          <w:b/>
          <w:caps w:val="false"/>
          <w:smallCaps w:val="false"/>
          <w:sz w:val="20"/>
        </w:rPr>
        <w:t>Issuer Covered Person</w:t>
      </w:r>
      <w:r>
        <w:rPr>
          <w:rFonts w:ascii="Times New Roman" w:hAnsi="Times New Roman"/>
          <w:caps w:val="false"/>
          <w:smallCaps w:val="false"/>
          <w:sz w:val="20"/>
        </w:rPr>
        <w:t>” and, together, “</w:t>
      </w:r>
      <w:r>
        <w:rPr>
          <w:rFonts w:ascii="Times New Roman" w:hAnsi="Times New Roman"/>
          <w:b/>
          <w:caps w:val="false"/>
          <w:smallCaps w:val="false"/>
          <w:sz w:val="20"/>
        </w:rPr>
        <w:t>Issuer Covered Persons</w:t>
      </w:r>
      <w:r>
        <w:rPr>
          <w:rFonts w:ascii="Times New Roman" w:hAnsi="Times New Roman"/>
          <w:caps w:val="false"/>
          <w:smallCaps w:val="false"/>
          <w:sz w:val="20"/>
        </w:rPr>
        <w:t>”) is subject to any of the “</w:t>
      </w:r>
      <w:r>
        <w:rPr>
          <w:rFonts w:ascii="Times New Roman" w:hAnsi="Times New Roman"/>
          <w:b/>
          <w:caps w:val="false"/>
          <w:smallCaps w:val="false"/>
          <w:sz w:val="20"/>
        </w:rPr>
        <w:t>Bad Actor</w:t>
      </w:r>
      <w:r>
        <w:rPr>
          <w:rFonts w:ascii="Times New Roman" w:hAnsi="Times New Roman"/>
          <w:caps w:val="false"/>
          <w:smallCaps w:val="false"/>
          <w:sz w:val="20"/>
        </w:rPr>
        <w:t>” disqualifications described in Rule 506(d)(1)(i) to (viii) under the Securities Act (a “</w:t>
      </w:r>
      <w:r>
        <w:rPr>
          <w:rFonts w:ascii="Times New Roman" w:hAnsi="Times New Roman"/>
          <w:b/>
          <w:caps w:val="false"/>
          <w:smallCaps w:val="false"/>
          <w:sz w:val="20"/>
        </w:rPr>
        <w:t>Disqualification Event</w:t>
      </w:r>
      <w:r>
        <w:rPr>
          <w:rFonts w:ascii="Times New Roman" w:hAnsi="Times New Roman"/>
          <w:caps w:val="false"/>
          <w:smallCaps w:val="false"/>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Investors a copy of any disclosures provided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(rr)    </w:t>
      </w:r>
      <w:r>
        <w:rPr>
          <w:rFonts w:ascii="Times New Roman" w:hAnsi="Times New Roman"/>
          <w:b/>
          <w:caps w:val="false"/>
          <w:smallCaps w:val="false"/>
          <w:sz w:val="20"/>
        </w:rPr>
        <w:t>Other Covered Persons</w:t>
      </w:r>
      <w:r>
        <w:rPr>
          <w:rFonts w:ascii="Times New Roman" w:hAnsi="Times New Roman"/>
          <w:caps w:val="false"/>
          <w:smallCaps w:val="false"/>
          <w:sz w:val="20"/>
        </w:rPr>
        <w:t>. The Company is not aware of any Person that has been or will be paid (directly or indirectly) remuneration for solicitation of Investors or potential purchasers in connection with the sale of any Regulation 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(ss)    </w:t>
      </w:r>
      <w:r>
        <w:rPr>
          <w:rFonts w:ascii="Times New Roman" w:hAnsi="Times New Roman"/>
          <w:b/>
          <w:caps w:val="false"/>
          <w:smallCaps w:val="false"/>
          <w:sz w:val="20"/>
        </w:rPr>
        <w:t>No Additional Agreements</w:t>
      </w:r>
      <w:r>
        <w:rPr>
          <w:rFonts w:ascii="Times New Roman" w:hAnsi="Times New Roman"/>
          <w:caps w:val="false"/>
          <w:smallCaps w:val="false"/>
          <w:sz w:val="20"/>
        </w:rPr>
        <w:t>. The Company does not have any agreement or understanding with any Investor with respect to the transactions contemplated by the Transaction Documents other than as specified in the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(tt)    </w:t>
      </w:r>
      <w:r>
        <w:rPr>
          <w:rFonts w:ascii="Times New Roman" w:hAnsi="Times New Roman"/>
          <w:b/>
          <w:caps w:val="false"/>
          <w:smallCaps w:val="false"/>
          <w:sz w:val="20"/>
        </w:rPr>
        <w:t>Cybersecurity</w:t>
      </w:r>
      <w:r>
        <w:rPr>
          <w:rFonts w:ascii="Times New Roman" w:hAnsi="Times New Roman"/>
          <w:caps w:val="false"/>
          <w:smallCaps w:val="false"/>
          <w:sz w:val="20"/>
        </w:rPr>
        <w:t>. The Company’s and its Subsidiaries’ information technology assets and equipment, computers, systems, networks, hardware, software, websites, applications, and databases (collectively, “</w:t>
      </w:r>
      <w:r>
        <w:rPr>
          <w:rFonts w:ascii="Times New Roman" w:hAnsi="Times New Roman"/>
          <w:b/>
          <w:caps w:val="false"/>
          <w:smallCaps w:val="false"/>
          <w:sz w:val="20"/>
        </w:rPr>
        <w:t>IT Systems</w:t>
      </w:r>
      <w:r>
        <w:rPr>
          <w:rFonts w:ascii="Times New Roman" w:hAnsi="Times New Roman"/>
          <w:caps w:val="false"/>
          <w:smallCaps w:val="false"/>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that would reasonably be expected to have a Material Adverse Effect.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w:t>
      </w:r>
      <w:r>
        <w:rPr>
          <w:rFonts w:ascii="Times New Roman" w:hAnsi="Times New Roman"/>
          <w:b/>
          <w:caps w:val="false"/>
          <w:smallCaps w:val="false"/>
          <w:sz w:val="20"/>
        </w:rPr>
        <w:t>Personal Data</w:t>
      </w:r>
      <w:r>
        <w:rPr>
          <w:rFonts w:ascii="Times New Roman" w:hAnsi="Times New Roman"/>
          <w:caps w:val="false"/>
          <w:smallCaps w:val="false"/>
          <w:sz w:val="20"/>
        </w:rPr>
        <w:t>,” used in connection with their businesses. “</w:t>
      </w:r>
      <w:r>
        <w:rPr>
          <w:rFonts w:ascii="Times New Roman" w:hAnsi="Times New Roman"/>
          <w:b/>
          <w:caps w:val="false"/>
          <w:smallCaps w:val="false"/>
          <w:sz w:val="20"/>
        </w:rPr>
        <w:t>Personal Data</w:t>
      </w:r>
      <w:r>
        <w:rPr>
          <w:rFonts w:ascii="Times New Roman" w:hAnsi="Times New Roman"/>
          <w:caps w:val="false"/>
          <w:smallCaps w:val="false"/>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w:t>
      </w:r>
      <w:r>
        <w:rPr>
          <w:rFonts w:ascii="Times New Roman" w:hAnsi="Times New Roman"/>
          <w:b/>
          <w:caps w:val="false"/>
          <w:smallCaps w:val="false"/>
          <w:sz w:val="20"/>
        </w:rPr>
        <w:t>GDPR</w:t>
      </w:r>
      <w:r>
        <w:rPr>
          <w:rFonts w:ascii="Times New Roman" w:hAnsi="Times New Roman"/>
          <w:caps w:val="false"/>
          <w:smallCaps w:val="false"/>
          <w:sz w:val="20"/>
        </w:rPr>
        <w:t>”) (EU 2016/679);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caps w:val="false"/>
          <w:smallCaps w:val="false"/>
          <w:sz w:val="20"/>
        </w:rPr>
        <w:t>HIPAA</w:t>
      </w:r>
      <w:r>
        <w:rPr>
          <w:rFonts w:ascii="Times New Roman" w:hAnsi="Times New Roman"/>
          <w:caps w:val="false"/>
          <w:smallCaps w:val="false"/>
          <w:sz w:val="20"/>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except in each case, where such would not, either individually or in the aggregate, reasonably be expected to result in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where such would not, either individually or in the aggregate,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(uu)    </w:t>
      </w:r>
      <w:r>
        <w:rPr>
          <w:rFonts w:ascii="Times New Roman" w:hAnsi="Times New Roman"/>
          <w:b/>
          <w:caps w:val="false"/>
          <w:smallCaps w:val="false"/>
          <w:sz w:val="20"/>
        </w:rPr>
        <w:t>Compliance with Data Privacy Laws</w:t>
      </w:r>
      <w:r>
        <w:rPr>
          <w:rFonts w:ascii="Times New Roman" w:hAnsi="Times New Roman"/>
          <w:caps w:val="false"/>
          <w:smallCaps w:val="false"/>
          <w:sz w:val="20"/>
        </w:rPr>
        <w:t>. The Company and its Subsidiaries are, and at all prior times were, in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GDPR (EU 2016/679) (collectively, the “</w:t>
      </w:r>
      <w:r>
        <w:rPr>
          <w:rFonts w:ascii="Times New Roman" w:hAnsi="Times New Roman"/>
          <w:b/>
          <w:caps w:val="false"/>
          <w:smallCaps w:val="false"/>
          <w:sz w:val="20"/>
        </w:rPr>
        <w:t>Privacy Laws</w:t>
      </w:r>
      <w:r>
        <w:rPr>
          <w:rFonts w:ascii="Times New Roman" w:hAnsi="Times New Roman"/>
          <w:caps w:val="false"/>
          <w:smallCaps w:val="false"/>
          <w:sz w:val="20"/>
        </w:rPr>
        <w:t>”) except in each case, where such would not, either individually or in the aggregate, reasonably be expected to result in a Material Adverse Effect.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(vv)    </w:t>
      </w:r>
      <w:r>
        <w:rPr>
          <w:rFonts w:ascii="Times New Roman" w:hAnsi="Times New Roman"/>
          <w:b/>
          <w:caps w:val="false"/>
          <w:smallCaps w:val="false"/>
          <w:sz w:val="20"/>
        </w:rPr>
        <w:t>Generative AI</w:t>
      </w:r>
      <w:r>
        <w:rPr>
          <w:rFonts w:ascii="Times New Roman" w:hAnsi="Times New Roman"/>
          <w:caps w:val="false"/>
          <w:smallCaps w:val="false"/>
          <w:sz w:val="20"/>
        </w:rPr>
        <w:t>. The Company and its Subsidiaries use all Generative AI Tools (as defined below) in material compliance with the applicable license terms, consents, agreements and laws. The Company and its Subsidiaries have not included and do not include any sensitive Personal Data, trade secrets or material confidential or proprietary information of the Company, or of any third Person under an obligation of confidentiality by the Company or its Subsidiaries, in any prompts or inputs into any Generative AI Tools, except in cases where such Generative AI Tools do not use such information, prompts or services to train the machine learning or algorithm of such tools or improve the services related to such tools. The Company has not used Generative AI Tools to develop any material Intellectual Property Rights that the Company intended to maintain as proprietary in a manner that it believes would materially affect the Company’s ownership or rights therein. For purposes hereof, “</w:t>
      </w:r>
      <w:r>
        <w:rPr>
          <w:rFonts w:ascii="Times New Roman" w:hAnsi="Times New Roman"/>
          <w:b/>
          <w:caps w:val="false"/>
          <w:smallCaps w:val="false"/>
          <w:sz w:val="20"/>
        </w:rPr>
        <w:t>Generative AI Tools</w:t>
      </w:r>
      <w:r>
        <w:rPr>
          <w:rFonts w:ascii="Times New Roman" w:hAnsi="Times New Roman"/>
          <w:caps w:val="false"/>
          <w:smallCaps w:val="false"/>
          <w:sz w:val="20"/>
        </w:rPr>
        <w:t>” means generative artificial intelligence technology or similar tools capable of automatically producing various types of content (such as source code, text, images, audio, and synthetic data) based on user-supplied prompts.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(ww)    </w:t>
      </w:r>
      <w:r>
        <w:rPr>
          <w:rFonts w:ascii="Times New Roman" w:hAnsi="Times New Roman"/>
          <w:b/>
          <w:caps w:val="false"/>
          <w:smallCaps w:val="false"/>
          <w:sz w:val="20"/>
        </w:rPr>
        <w:t>Inventory</w:t>
      </w:r>
      <w:r>
        <w:rPr>
          <w:rFonts w:ascii="Times New Roman" w:hAnsi="Times New Roman"/>
          <w:caps w:val="false"/>
          <w:smallCaps w:val="false"/>
          <w:sz w:val="20"/>
        </w:rPr>
        <w:t>. All Inventory (as defined in Article 9 of the Uniform Commercial Code as in effect from time to time in the State of New York) of the Company and its Subsidiaries (i) complies in all material respects with applicable laws, (ii) has been manufactured, processed, packed, held, and transported in all material respects in accordance with appropriate “good manufacturing practices” or similar practices that may be promulgated under applicable laws, and (iii) is not and will not be prohibited in any material respect from being introduced into interstate commerce under the provisions of any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(xx)    </w:t>
      </w:r>
      <w:r>
        <w:rPr>
          <w:rFonts w:ascii="Times New Roman" w:hAnsi="Times New Roman"/>
          <w:b/>
          <w:caps w:val="false"/>
          <w:smallCaps w:val="false"/>
          <w:sz w:val="20"/>
        </w:rPr>
        <w:t>Regulatory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Since January 1, 2021, (1) the business of the Company and its Subsidiaries has been and is being conducted in compliance in all material respects with all applicable Healthcare Laws (as defined below), and all licenses, listings, rights, privileges, clearances, franchises, markings, labelings, certificates, accreditations, product clearances or approvals, provider numbers or provider authorizations, supplier numbers, enrollments, letters of non-reviewability, certificates of need, marketing authorizations, variances, exemptions, plans, directives, other authorizations, registrations, permits, consents, consent orders, consent decrees or approvals and any supplements or amendments thereto issued or required of the Company and each of its Subsidiaries under any law applicable to their business, or necessary in the manufacturing, importing, exporting, possession, ownership, warehousing, marketing, promoting, sale, labeling, furnishing, distribution or delivery of goods or services under any law applicable to their business (“</w:t>
      </w:r>
      <w:r>
        <w:rPr>
          <w:rFonts w:ascii="Times New Roman" w:hAnsi="Times New Roman"/>
          <w:b/>
          <w:caps w:val="false"/>
          <w:smallCaps w:val="false"/>
          <w:sz w:val="20"/>
        </w:rPr>
        <w:t>Permits</w:t>
      </w:r>
      <w:r>
        <w:rPr>
          <w:rFonts w:ascii="Times New Roman" w:hAnsi="Times New Roman"/>
          <w:caps w:val="false"/>
          <w:smallCaps w:val="false"/>
          <w:sz w:val="20"/>
        </w:rPr>
        <w:t>”), (2) each Product (as defined below) (whether manufactured by the Company or any of its Subsidiaries, any of their respective affiliates or by a third party manufacturer under contract to the Company or any of its Subsidiaries) has been, and currently is, being researched, developed, designed, investigated, tested, manufactured, made, assembled, stored, packaged, labeled, marketed and distributed by the Company and its Subsidiaries or third parties on their behalf, in compliance with all applicable laws, including, without limitation, the Healthcare Laws, all required Permits, current good manufacturing practice requirements of the Quality System Regulations (21 CFR Part 820), the Device Master Record as defined in 21 CFR 820.181 and Document Controls under 21 CFR 820.40, or, in relation to the foregoing, the analogous laws of any other foreign jurisdiction or country, and all Product specifications as established in the Company’s and/or their Subsidiaries’ documentation, except to the extent any failure to so comply could not reasonably be expected to result in any adverse consequences to the Company or its Subsidiaries (other than immaterial consequences), (3) each contract between the Company and any of its Subsidiaries on the one hand, and any third party manufacturer on the other hand contain (and the Company and each of its Subsidiaries implement), appropriate quality assurance and quality control arrangements in accordance with U.S. Food and Drug Administration (“</w:t>
      </w:r>
      <w:r>
        <w:rPr>
          <w:rFonts w:ascii="Times New Roman" w:hAnsi="Times New Roman"/>
          <w:b/>
          <w:caps w:val="false"/>
          <w:smallCaps w:val="false"/>
          <w:sz w:val="20"/>
        </w:rPr>
        <w:t>FDA</w:t>
      </w:r>
      <w:r>
        <w:rPr>
          <w:rFonts w:ascii="Times New Roman" w:hAnsi="Times New Roman"/>
          <w:caps w:val="false"/>
          <w:smallCaps w:val="false"/>
          <w:sz w:val="20"/>
        </w:rPr>
        <w:t>”) requirements and comply in all material respects with all applicable Healthcare Laws, (4) the Company and its Subsidiaries are in compliance in all material respects with applicable laws governing reporting and recordkeeping of Product modifications, adverse event reporting, malfunction reporting, reporting of corrections and removals, reporting of accidental radiation exposures, notification of defects, and recordkeeping for each Product, and all manufacturing and release documents and records are true and accurate in all material respects, (5) neither the Company nor any of its Subsidiaries has received or been subject to any written or oral communications from the FDA, the U.S. Nuclear Regulatory Commission (the “</w:t>
      </w:r>
      <w:r>
        <w:rPr>
          <w:rFonts w:ascii="Times New Roman" w:hAnsi="Times New Roman"/>
          <w:b/>
          <w:caps w:val="false"/>
          <w:smallCaps w:val="false"/>
          <w:sz w:val="20"/>
        </w:rPr>
        <w:t>NRC</w:t>
      </w:r>
      <w:r>
        <w:rPr>
          <w:rFonts w:ascii="Times New Roman" w:hAnsi="Times New Roman"/>
          <w:caps w:val="false"/>
          <w:smallCaps w:val="false"/>
          <w:sz w:val="20"/>
        </w:rPr>
        <w:t>”) or any other Governmental Entity asserting that the Company, any such Subsidiary or any such Product was not in compliance in any material respect with any applicable laws or any Permit, and (6) no Product is: (i) adulterated within the meaning of 21 U.S.C. § 351; (ii) misbranded within the meaning of 21 U.S.C. § 352; (iii) in material violation of 21 U.S.C. §§ 331, 360, 360e, 360i, or 360j, or (iv) in relation to the foregoing (i)-(iii), the analogous laws of any other foreign jurisdiction or country. “</w:t>
      </w:r>
      <w:r>
        <w:rPr>
          <w:rFonts w:ascii="Times New Roman" w:hAnsi="Times New Roman"/>
          <w:b/>
          <w:caps w:val="false"/>
          <w:smallCaps w:val="false"/>
          <w:sz w:val="20"/>
        </w:rPr>
        <w:t>Healthcare Law</w:t>
      </w:r>
      <w:r>
        <w:rPr>
          <w:rFonts w:ascii="Times New Roman" w:hAnsi="Times New Roman"/>
          <w:caps w:val="false"/>
          <w:smallCaps w:val="false"/>
          <w:sz w:val="20"/>
        </w:rPr>
        <w:t>” means the laws, codes, policies and guidelines of all governmental authorities relating to the production, preparation, propagation, compounding, conversion, pricing, marketing, promotion, sale, distribution, coverage, coding, billing, collections, recordkeeping, claims process, documentation requirements, medical necessity, referrals, Permits, the hiring of employees or acquisition of services or supplies from those who have been excluded from government health care programs, quality, safety, privacy, security, licensure, accreditation or reimbursement of a drug, device, biological or other medical item, supply or service, including, without limitation, the Federal Food, Drug, and Cosmetic Act of 1938, as amended from time to time, and the rules, regulations, guidelines, guidance documents and compliance policy guides issued or promulgated thereunder (collectively, the “</w:t>
      </w:r>
      <w:r>
        <w:rPr>
          <w:rFonts w:ascii="Times New Roman" w:hAnsi="Times New Roman"/>
          <w:b/>
          <w:caps w:val="false"/>
          <w:smallCaps w:val="false"/>
          <w:sz w:val="20"/>
        </w:rPr>
        <w:t>FD&amp;C Act</w:t>
      </w:r>
      <w:r>
        <w:rPr>
          <w:rFonts w:ascii="Times New Roman" w:hAnsi="Times New Roman"/>
          <w:caps w:val="false"/>
          <w:smallCaps w:val="false"/>
          <w:sz w:val="20"/>
        </w:rPr>
        <w:t>”), billing and collection practices relating to the payment for healthcare services or supplies, the federal False Claims Act (31 U.S.C. §§ 3729 et seq.), the federal healthcare program anti-kickback statute (42 U.S.C. § 1320a- 7b), the Stark laws (42 U.S.C. § 1395nn), the Federal Program Fraud Civil Remedies Act (31 U.S.C. § 3801 et seq.), the Travel Act (18 U.S.C. § 1952), the Federal Health Care Fraud Law (18 U.S.C. § 1347) , HIPAA, the federal healthcare program civil money penalty and exclusion authorities (42 U.S.C. § 1320a-7a), the Physician Payments Sunshine Act (42 U.S.C. § 1320a-7h), the Exclusion Laws (42 U.S.C. § 1320a-7), the statutes, regulations, guidelines and directives of applicable federal healthcare programs of Medicare, Medicaid and other healthcare programs of other governmental authorities, including the Veterans Health Administration and United States Department of Defense healthcare and contracting programs, and the analogous laws of any other foreign jurisdiction or country. “</w:t>
      </w:r>
      <w:r>
        <w:rPr>
          <w:rFonts w:ascii="Times New Roman" w:hAnsi="Times New Roman"/>
          <w:b/>
          <w:caps w:val="false"/>
          <w:smallCaps w:val="false"/>
          <w:sz w:val="20"/>
        </w:rPr>
        <w:t>Product</w:t>
      </w:r>
      <w:r>
        <w:rPr>
          <w:rFonts w:ascii="Times New Roman" w:hAnsi="Times New Roman"/>
          <w:caps w:val="false"/>
          <w:smallCaps w:val="false"/>
          <w:sz w:val="20"/>
        </w:rPr>
        <w:t>” means any current or future service or product researched, designed, developed, manufactured, tested, licensed, marketed, sold, performed, distributed or otherwise commercialized by the Company or any of its Subsidiaries, and any such product in development or which may be developed.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Other than routine surveillance audits and inspections, no investigation by any Governmental Entity with respect to the Company or any of its Subsidiaries is pending or, to the knowledge of the Company, threatened or planned. None of the Company or any of its Subsidiaries has received any written or oral communication from any Governmental Entity of any noncompliance with any applicable laws related to the Products or any written or oral communication from any Governmental Entity or accrediting organization of any material issues, problems, or concerns regarding the quality or performance of the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The Company and its Subsidiaries own, free and clear of all Liens, all Permits, including all authorizations under the FD&amp;C Act, other United States federal laws, and all applicable state and foreign laws, necessary (i) for the research and development and commercialization of the Products, including, without limitation, all Permits necessary in connection with testing, manufacturing, marketing or selling of such Products, as such testing, manufacturing, marketing or selling are currently being conducted, and (ii) to carry on the business of the Company and each of its Subsidiaries. All such Permits are valid and in full force and effect and the Company and each Subsidiary is in compliance in all material respects with all terms and conditions of such Permits. None of the Company or any Subsidiary has received any written notice from any Governmental Entity that any Permit has been or is being revoked, withdrawn, suspended or challenged or that such Governmental Entity is conducting an investigation or review thereof or has issued any order or recommendation stating that the development, testing and/or manufacturing of such Product should cease or that such Product should be withdrawn from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Except as could not reasonably be expected to have a Material Adverse Effect, there have been no adverse clinical test results and there have been no Product recalls, Product corrections or removals or voluntary corrections or removals of a distributed device that involve (i) a minor violation of the FD&amp;C Act that would not be subject to legal action by FDA or that involves no violation of the FD&amp;C, e.g., normal stock rotation practices (defined at 21 C.F.R. § 806.2), or (ii) a minor violation of analogous foreign applicable provisions of laws or that involves no violation of applicable law from any market (other than those disclosed on in the SEC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Since January 1, 2021, there has been no material untrue statement of fact and no fraudulent statement made by the Company or any of its Subsidiaries or any of their respective agents or representatives to the FDA, NRC, or any other Governmental Entity, and there has been no failure to disclose any material fact required to be disclosed to the FDA, NRC or any other Governmental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To the best knowledge of the Company, no insurance company, managed care organization or Governmental Entity has (i) terminated coverage or reimbursement for procedures and treatments performed using the CyberKnife and TomoTherapy Products, or (ii) reduced, restricted, lost, or impaired the scope of coverage or the rate of reimbursement it provides for procedures and treatments performed using the CyberKnife and TomoTherapy Products, and, in the case of this clause (ii), such reduction, restriction, loss, or impairment could reasonably be expected to have a materially adverse impact on the revenues of the Company and its Subsidiaries. None of the Company or any of its Subsidiaries has been the subject of any “for cause” inspection, investigation or audit by any Governmental Entity in connection with any alleged improper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Since January 1, 2021, neither Company nor any of its Subsidiaries has received any warning letter or “It Has Come to Our Attention Letter” from the FDA or any other Governmental Entity or other similar communication from the FDA or other Governmental Entity inquiring about or alleging or asserting noncompliance with any Healthcare Law. There is no arrangement relating to the Company or any of its Subsidiaries providing for any rebates, kickbacks or other forms of compensation or remuneration that are unlawful to be paid to any Person to induce, or in return for obtaining or the referral of business or for the arrangement for recommendation of such referrals. Neither the Company nor any of its Subsidiaries or their respective officers, directors, employees or agents has knowingly billed or knowingly received any payment or reimbursement on behalf of their clients or customers in excess of amounts allowed by applicable Healthcare Laws, or advised or knowingly provided information to any healthcare provider or supplier that could be reasonably interpreted to advocate upcoding or other coding activities that could reasonably be expected to violate Healthcare Laws. All billings by the Company and each of its Subsidiaries for its services have been true and correct in all material respects and are in compliance in all material respects with all applicable Healthcare Laws. The Company and its Subsidiaries do not submit claims to Governmental Entity, insurance companies, and managed care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(viii)    There are no facts, circumstances or conditions that, to the knowledge of the Company or any of its Subsidiaries, could reasonably be expected to form the basis for any valid investigation, material inquiry, for-cause inspection, appeal, enforcement, seizure, detention, withdrawal, injunction, shutdown, field action, field correction, safety alert, recall, “It Has Come to Our Attention Letter”, warning letter, notice of suspension or cancellation of a registration of establishment license, FDA Form 483, suit, claim, audit, claim review, arbitration, action, qui tam, whistleblower suit (legal or regulatory), or proceeding (legal or regulatory) or other similar correspondence or action by a Governmental Entity relating to any of the Healthcare Laws against or affecting the Company or any of its Subsidiaries that could reasonably be expected to have a Material Adverse Effect. Except as disclosed to the Investors, neither the Company nor any of its Subsidiaries (i) are currently, or has been, a party to a corporate integrity agreement, monitoring agreement, consent decree, settlement agreement, individual integrity agreement, corporate compliance agreement, deferred prosecution agreement, or other formal or informal agreement or order mandating or prohibiting future or past activities relating to its operations, or (ii) have any reporting obligations pursuant to any such settlement agreements, plan of correction, or other remedial measure entered into with any Governmental Entity. The Company or any of its Subsidiaries, as applicable, has complied with the terms and conditions of any corporate integrity agreements, settlement agreements, plans of correction, or other remedial measures or demand of any Governmental Entity to which it is subject except where non-compliance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(ix)    None of the Company or any of its Subsidiaries, or, to the knowledge of the Company, any individual who is an officer, director, employee, agent or manager (who, in each case, is a “person with a direct or indirect ownership or control interest” or is a “managing employee” (as those terms are defined in 42 C.F.R. § 420.201)) of the Company or any of its Subsidiaries (a) has been convicted of, charged with or, to the knowledge of the Company, investigated for any federal or state health program-related offense or been excluded or suspended from participation in any such program; or, to the knowledge of the Company has been convicted of, charged with or, to the knowledge of the Company, investigated for a violation of any applicable laws related to fraud, theft, embezzlement, breach of fiduciary responsibility, financial misconduct, obstruction of an investigation or controlled substances, or has been subject to any judgment, stipulation, order or decree of, or criminal or civil fine or penalty imposed by, any Governmental Entity related to fraud, theft, embezzlement, breach of fiduciary responsibility, financial misconduct, obstruction of an investigation or controlled substances; (b) has been convicted of any crime or engaged in any conduct including but not limited to any misrepresentation to any Governmental Entity or that has otherwise resulted or would reasonably be expected to result in a debarment, suspension or exclusion (i) under 21 U.S.C. Section 335a, (ii) from selling products to the U.S. government or its agencies pursuant to the Federal Acquisition Regulation, relating to debarment and suspension applicable to federal government agencies generally (48 C.F.R. Subpart 9.4), (iii) from participation, or is otherwise ineligible to participate, in any federal health care program or similar program outside of the United States pursuant to any applicable Healthcare Laws by any Governmental Entity or (iv) any similar applicable laws. No debarment proceedings, investigations or any of the actions or proceedings described above in respect of the business of the Company or any of its Subsidiaries are pending or, to the knowledge of the Company, threatened against the Company or any of its Subsidiaries or any individual who is an officer, director, employee or manager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    All studies, tests and preclinical and clinical trials conducted relating to the Products sponsored by the Company or any of its Subsidiaries have been conducted, and are currently being conducted, in all material respects in accordance with all applicable laws and an Investigational Device Exemption as defined in the FD&amp;C Act or FDA regulations with the FDA (“</w:t>
      </w:r>
      <w:r>
        <w:rPr>
          <w:rFonts w:ascii="Times New Roman" w:hAnsi="Times New Roman"/>
          <w:b/>
          <w:caps w:val="false"/>
          <w:smallCaps w:val="false"/>
          <w:sz w:val="20"/>
        </w:rPr>
        <w:t>IDE</w:t>
      </w:r>
      <w:r>
        <w:rPr>
          <w:rFonts w:ascii="Times New Roman" w:hAnsi="Times New Roman"/>
          <w:caps w:val="false"/>
          <w:smallCaps w:val="false"/>
          <w:sz w:val="20"/>
        </w:rPr>
        <w:t>”), including procedures and controls pursuant to, where applicable, current good clinical practices and current good laboratory practices and submission to clinicaltrials.gov or other databases as required by applicable laws. To the extent required by applicable law, the Company and each of its Subsidiaries has obtained all necessary authorizations from governmental authorities and Institutional Review Boards as defined in 21 C.F.R. Part 56 or independent ethics committees, including an IDE for the conduct of any clinical investigations conducted by or on behalf of the Company or such Subsidiary,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    To the knowledge of the Company, none of the clinical investigators in any clinical trial sponsored by the Company or any of its Subsidiaries has been or is disqualified or otherwise sanctioned by the FDA, the Department of Health and Human Services, or any Governmental Entity and, to the knowledge of the Company, no such disqualification, or other sanction of any such clinical investigator is pending or threatened. None of the Company or any of its Subsidiaries has received from the FDA or other applicable Governmental Entity any notices or correspondence requiring or threatening the termination, suspension, material modification or clinical hold of any studies, tests or clinical trials with respect to or in connection with the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(xii)    The Company and all of its Subsidiaries maintain and implement (i) a compliance plan and program that is intended to ensure that the Company and its Subsidiaries are compliant with all Healthcare Laws applicable to the business of that Company and its Subsidiaries, and (ii) written policies, procedures, records, controls, measures and/or programs designed to assure that the operations, directors, members, managers, officers, employees, and independent contractors are in compliance with all applicable Healthcare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(xiii)    The Company and all of its Subsidiaries are in material compliance with: (i) all Privacy Laws, and each of the Company and its Subsidiaries have taken commercially reasonable actions to prepare to comply with, and currently are in material compliance with, Privacy Laws, (ii) applicable industry standards relating to Privacy Laws, and (iii) the requirements of any contract or codes of conduct to which any of the Company of any of its Subsidiaries is a party relating to Privacy Laws, in each case except where such noncompliance could not reasonably be expected to have a Material Adverse Effect. To ensure compliance with the Privacy Laws, the Company and its Subsidiaries has in place, complies with, and takes appropriate steps reasonably designed to ensure compliance in all material respects with its policies and procedures relating to data privacy and security and the Processing of Personal Information, except where such noncompliance could not reasonably be expected to have a Material Adverse Effect. Each of the Company and its Subsidiaries has made all material disclosures to users or customers required by applicable Privacy Laws, and none of such disclosures made or contained in any policy has been inaccurate or in violation of any applicable Privacy Laws, except where such inaccuracy, violation or failure to disclose could not reasonably be expected to have a Material Adverse Effect. The Company and its Subsidiaries has commercially reasonable physical, technical, organizational and administrative security measures and policies in place to protect all personal information collected by it or on its behalf from and against unauthorized access, use and/or disclosure. None of the Company or its Subsidiaries: (i) has received notice of any actual or potential liability under or relating to, or actual or potential violation of, any of the Privacy Laws, and has no knowledge of any event or condition that could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by any governmental or regulatory authority under any Privacy Law, in each case except where such obligation or liability could not reasonably be expected to have a Material Adverse Effect. The Company and its Subsidiaries have not suffered any breach of unsecured protected health information, received any written notice from the Office for Civil Rights for the U.S. Department of Health and Human Services or any other Governmental Entity regarding any allegation regarding its failure to comply with HIPAA. The Company and its Subsidiaries, in each case to the extent required by HIPAA, has undertaken required or reasonable security risk assessments and implemented necessary safeguards, and has provided training with respect to compliance with HIPAA and has entered into a business associate agreement with each third party acting as a “covered entity”, “business associate,” or “subcontractor,” as applicable thereto (as such terms are defined in HIPAA).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(yy)    </w:t>
      </w:r>
      <w:r>
        <w:rPr>
          <w:rFonts w:ascii="Times New Roman" w:hAnsi="Times New Roman"/>
          <w:b/>
          <w:caps w:val="false"/>
          <w:smallCaps w:val="false"/>
          <w:sz w:val="20"/>
        </w:rPr>
        <w:t>Disclosure</w:t>
      </w:r>
      <w:r>
        <w:rPr>
          <w:rFonts w:ascii="Times New Roman" w:hAnsi="Times New Roman"/>
          <w:caps w:val="false"/>
          <w:smallCaps w:val="false"/>
          <w:sz w:val="20"/>
        </w:rPr>
        <w:t>. The Company and its Subsidiaries has disclosed to the Investors all agreements, instruments and corporate or other restrictions to which the Company and its Subsidiaries is subject, and all other matters known to it, that, individually or in the aggregate, could reasonably be expected to result in a Material Adverse Effect. To the Company’s knowledge, none of the written reports, financial statements, certificates or written other information furnished by or on behalf of any of the Company and its Subsidiaries to the Investors (other than forward-looking information, estimates, budgets and projections and information of a general economic nature and general information about the Company’s industry) (taken as a whole and as supplemented) in connection with the negotiation of this Agreement and the other Transaction Documents or delivered hereunder or thereunder (as modified or supplemented by other information so furnished and taken as a whole) contains any material misstatement of fact or omits to state any material fact necessary to make the statements therein, in the light of the circumstances under which it was made, not materially misleading. All financial projections and forecasts that have been prepared by or on behalf of the Company or any of its Subsidiaries and made available to the Investors have been prepared in good faith based upon reasonable assumptions and represented, at the time each such financial projection or forecast was delivered to each Investor, the Company’s best estimate of future financial performance ; it being understood that (i) financial projections are by their nature subject to significant uncertainties and contingencies, many of which are beyond the Company’s and its Subsidiaries’ control, (ii) actual results may differ materially from the financial projections and such variations may be material and (iii) the financial projections are not a guarantee of performance. The Company acknowledges and agrees that no Investor makes or has made any representations or warranties with respect to the transactions contemplated hereby other than those specifically set forth in Section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Reasonable Best Efforts</w:t>
      </w:r>
      <w:r>
        <w:rPr>
          <w:rFonts w:ascii="Times New Roman" w:hAnsi="Times New Roman"/>
          <w:caps w:val="false"/>
          <w:smallCaps w:val="false"/>
          <w:sz w:val="20"/>
        </w:rPr>
        <w:t>. Each Investor shall use its reasonable best efforts to timely satisfy each of the covenants hereunder and conditions to be satisfied by it as provided in Section 6 of this Agreement. The Company shall use its reasonable best efforts to timely satisfy each of the covenants hereunder and conditions to be satisfied by it as provided in Section 7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Form</w:t>
      </w:r>
      <w:r>
        <w:rPr>
          <w:rFonts w:ascii="Times New Roman" w:hAnsi="Times New Roman"/>
          <w:caps w:val="false"/>
          <w:smallCaps w:val="false"/>
          <w:sz w:val="20"/>
        </w:rPr>
        <w:t> </w:t>
      </w:r>
      <w:r>
        <w:rPr>
          <w:rFonts w:ascii="Times New Roman" w:hAnsi="Times New Roman"/>
          <w:b/>
          <w:caps w:val="false"/>
          <w:smallCaps w:val="false"/>
          <w:sz w:val="20"/>
        </w:rPr>
        <w:t>D and Blue Sky</w:t>
      </w:r>
      <w:r>
        <w:rPr>
          <w:rFonts w:ascii="Times New Roman" w:hAnsi="Times New Roman"/>
          <w:caps w:val="false"/>
          <w:smallCaps w:val="false"/>
          <w:sz w:val="20"/>
        </w:rPr>
        <w:t>. The Company shall file a Form D with respect to the Securities as required under Regulation D and to provide a copy thereof to each Investor promptly after such filing. The Company shall, on or before the Closing Date, take such action as the Company shall reasonably determine is necessary in order to obtain an exemption for, or to, qualify the Securities for sale to the Investors at such Closing pursuant to this Agreement under applicable securities or “</w:t>
      </w:r>
      <w:r>
        <w:rPr>
          <w:rFonts w:ascii="Times New Roman" w:hAnsi="Times New Roman"/>
          <w:b/>
          <w:caps w:val="false"/>
          <w:smallCaps w:val="false"/>
          <w:sz w:val="20"/>
        </w:rPr>
        <w:t>Blue Sky</w:t>
      </w:r>
      <w:r>
        <w:rPr>
          <w:rFonts w:ascii="Times New Roman" w:hAnsi="Times New Roman"/>
          <w:caps w:val="false"/>
          <w:smallCaps w:val="false"/>
          <w:sz w:val="20"/>
        </w:rPr>
        <w:t>” laws of the states of the United States (or to obtain an exemption from such qualification), and shall provide evidence of any such action so taken to the Investors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w:t>
      </w:r>
      <w:r>
        <w:rPr>
          <w:rFonts w:ascii="Times New Roman" w:hAnsi="Times New Roman"/>
          <w:b/>
          <w:caps w:val="false"/>
          <w:smallCaps w:val="false"/>
          <w:sz w:val="20"/>
        </w:rPr>
        <w:t>Blue Sky</w:t>
      </w:r>
      <w:r>
        <w:rPr>
          <w:rFonts w:ascii="Times New Roman" w:hAnsi="Times New Roman"/>
          <w:caps w:val="false"/>
          <w:smallCaps w:val="false"/>
          <w:sz w:val="20"/>
        </w:rPr>
        <w:t>” laws), and the Company shall comply with all applicable foreign, federal, state and local laws, statutes, rules, regulations and the like relating to the offering and sale of the Securities to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Reporting Status</w:t>
      </w:r>
      <w:r>
        <w:rPr>
          <w:rFonts w:ascii="Times New Roman" w:hAnsi="Times New Roman"/>
          <w:caps w:val="false"/>
          <w:smallCaps w:val="false"/>
          <w:sz w:val="20"/>
        </w:rPr>
        <w:t>. Until the date on which the Investors shall have sold all of the Registrable Securities, the Company shall timely file all reports required to be filed with the SEC pursuant to the Exchange Act, and the Company shall not terminate its status as an issuer required to file reports under the Exchange Act even if the Exchange Act or the rules and regulations thereunder would no longer require or otherwise permit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Use of Proceeds</w:t>
      </w:r>
      <w:r>
        <w:rPr>
          <w:rFonts w:ascii="Times New Roman" w:hAnsi="Times New Roman"/>
          <w:caps w:val="false"/>
          <w:smallCaps w:val="false"/>
          <w:sz w:val="20"/>
        </w:rPr>
        <w:t>. The Company will use the proceeds from the sale of the Securities for working capital, general corporate purposes and the purposes set forth in this Agreement, and not in violation of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Financial Information; Inspection Rights</w:t>
      </w:r>
      <w:r>
        <w:rPr>
          <w:rFonts w:ascii="Times New Roman" w:hAnsi="Times New Roman"/>
          <w:caps w:val="false"/>
          <w:smallCaps w:val="false"/>
          <w:sz w:val="20"/>
        </w:rPr>
        <w:t>. The Company agrees to provide to each Investor (i) information rights, including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Securities Act, within one (1) Business Day after the filing thereof with the SEC, to the extent not publicly available, the annual budget, business plan and such other information reasonably requested by the Investors, and (ii) the right, upon reasonable advance written notice of not less than five (5) Business Days and during the Company’s normal business hours, but no more than once per fiscal quarter, to visit and inspect the Company’s properties, to examine its corporate, financial and operating records (and make copies thereof or extracts therefrom), and to discuss the Company’s affairs, finances and accounts with the Company’s officers and, with the prior consent of the Company (not to be unreasonably withheld), its independent accountants; provided that (A) the Investor and the Company shall use reasonable efforts to schedule any such visit or inspection so as not to unreasonably interfere with the conduct of the business of the Company, (B) the Company shall not be obligated to provide access to any information that the Company reasonably believes to be subject to attorney-client privilege, to constitute a trade secret, or the disclosure of which would violate any binding confidentiality obligation owed to a third party, (C) such Investor shall, and shall cause its representatives to, hold all information so provided in confidence in accordance with Section 4(i), and (D) all costs and expenses incurred by such Investor in connection with any such inspection shall be borne by such Investor. The rights granted under this Section 4(e) shall terminate and be of no further force or effect upon the date on which no Preferred Shares remain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Listing</w:t>
      </w:r>
      <w:r>
        <w:rPr>
          <w:rFonts w:ascii="Times New Roman" w:hAnsi="Times New Roman"/>
          <w:caps w:val="false"/>
          <w:smallCaps w:val="false"/>
          <w:sz w:val="20"/>
        </w:rPr>
        <w:t>. The Company shall use its reasonable best efforts to maintain the listing or designation for quotation of the Common Stock on the Principal Market and to secure the listing or designation for quotation of all Conversion Shares and New Penny Warrant Shares required to be listed or designated for quotation pursuant to the rules of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Fees</w:t>
      </w:r>
      <w:r>
        <w:rPr>
          <w:rFonts w:ascii="Times New Roman" w:hAnsi="Times New Roman"/>
          <w:caps w:val="false"/>
          <w:smallCaps w:val="false"/>
          <w:sz w:val="20"/>
        </w:rPr>
        <w:t>. The Company shall pay for the costs and expenses incurred by it and its affiliates in connection with the structuring, documentation, negotiation and closing of the transactions contemplated by the Transaction Documents and shall reimburse TCW Asset Management Company LLC (“</w:t>
      </w:r>
      <w:r>
        <w:rPr>
          <w:rFonts w:ascii="Times New Roman" w:hAnsi="Times New Roman"/>
          <w:b/>
          <w:caps w:val="false"/>
          <w:smallCaps w:val="false"/>
          <w:sz w:val="20"/>
        </w:rPr>
        <w:t>TCW</w:t>
      </w:r>
      <w:r>
        <w:rPr>
          <w:rFonts w:ascii="Times New Roman" w:hAnsi="Times New Roman"/>
          <w:caps w:val="false"/>
          <w:smallCaps w:val="false"/>
          <w:sz w:val="20"/>
        </w:rPr>
        <w:t>”) for all reasonable and documented out-of-pocket fees and expenses (including the reasonable fees and expenses of its counsel and other advisors) incurred in connection with the negotiation, due diligence, documentation and consummation of the transactions contemplated by the Transaction Documents (the “</w:t>
      </w:r>
      <w:r>
        <w:rPr>
          <w:rFonts w:ascii="Times New Roman" w:hAnsi="Times New Roman"/>
          <w:b/>
          <w:caps w:val="false"/>
          <w:smallCaps w:val="false"/>
          <w:sz w:val="20"/>
        </w:rPr>
        <w:t>Reimbursement</w:t>
      </w:r>
      <w:r>
        <w:rPr>
          <w:rFonts w:ascii="Times New Roman" w:hAnsi="Times New Roman"/>
          <w:caps w:val="false"/>
          <w:smallCaps w:val="false"/>
          <w:sz w:val="20"/>
        </w:rPr>
        <w:t>”). The Reimbursement shall be payable by the Company to TCW (i) if the transactions contemplated by the Transaction Documents are consummated, at the Closing, or (ii) otherwise, promptly (and in any event within ten Business Days) following the presentation to the Company of summary invoices therefor. The Company shall be responsible for the payment of any placement agent’s fees, financial advisory fees, transfer agent fees, DTC (as defined below) fees or broker’s commissions (other than for Persons engaged by any Investor) relating to or arising out of the transactions contemplated hereby. The Company shall pay, and hold each Investor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Pledge of Securities</w:t>
      </w:r>
      <w:r>
        <w:rPr>
          <w:rFonts w:ascii="Times New Roman" w:hAnsi="Times New Roman"/>
          <w:caps w:val="false"/>
          <w:smallCaps w:val="false"/>
          <w:sz w:val="20"/>
        </w:rPr>
        <w:t>. Notwithstanding anything to the contrary contained in this Agreement, the Company acknowledges and agrees that the Securities may be pledged by an Investor in connection with a bona fide margin agreement or other loan or financing arrangement that is secured by the Securities. The pledge of Securities shall not be deemed to be a transfer, sale or assignment of the Securities hereunder, and no Investor effecting a pledge of Securities shall be required to provide the Company with any notice thereof or otherwise make any delivery to the Company pursuant to this Agreement or any other Transaction Document, including, without limitation, Section 2(g) hereof; provided that an Investor and its pledgee shall be required to comply with the provisions of Section 2(g) hereof in order to effect a sale, transfer or assignment of Securities to such pledgee. The Company hereby agrees to execute and deliver such documentation as a pledgee of the Securities may reasonably request in connection with a pledge of the Securities to such pledgee by an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Disclosure of Transactions and Other Material Information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Disclosure of Closing</w:t>
      </w:r>
      <w:r>
        <w:rPr>
          <w:rFonts w:ascii="Times New Roman" w:hAnsi="Times New Roman"/>
          <w:caps w:val="false"/>
          <w:smallCaps w:val="false"/>
          <w:sz w:val="20"/>
        </w:rPr>
        <w:t>. On or before 9:00 a.m., New York time, on the first (1st) Business Day after the date of this Agreement, the Company shall file a Current Report on Form 8-K describing all the material terms of the transactions contemplated by the Transaction Documents in the form required by the Exchange Act and attaching all the material Transaction Documents (including, without limitation, this Agreement (and all schedules to this Agreement), the form of the New Penny Warrants, and the form of Certificate of Designation) (the “</w:t>
      </w:r>
      <w:r>
        <w:rPr>
          <w:rFonts w:ascii="Times New Roman" w:hAnsi="Times New Roman"/>
          <w:b/>
          <w:caps w:val="false"/>
          <w:smallCaps w:val="false"/>
          <w:sz w:val="20"/>
        </w:rPr>
        <w:t>Initial 8-K Filing</w:t>
      </w:r>
      <w:r>
        <w:rPr>
          <w:rFonts w:ascii="Times New Roman" w:hAnsi="Times New Roman"/>
          <w:caps w:val="false"/>
          <w:smallCaps w:val="false"/>
          <w:sz w:val="20"/>
        </w:rPr>
        <w:t>”). The Initial 8-K Filing constitutes the Company’s public announcement of the transactions contemplated by the Transaction Documents and shall not be construed to discharge, terminate, or otherwise limit any confidentiality obligations of the Company or any Investor with respect to financial or other information of the Company furnished to such Investor pursuant to Section 4(e) or otherwise in connection with the transactions contemplated by the Transaction Documents, whether before, on, or after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b/>
          <w:caps w:val="false"/>
          <w:smallCaps w:val="false"/>
          <w:sz w:val="20"/>
        </w:rPr>
        <w:t>Confidentiality</w:t>
      </w:r>
      <w:r>
        <w:rPr>
          <w:rFonts w:ascii="Times New Roman" w:hAnsi="Times New Roman"/>
          <w:caps w:val="false"/>
          <w:smallCaps w:val="false"/>
          <w:sz w:val="20"/>
        </w:rPr>
        <w:t>. Each Investor agrees (on behalf of itself and each of its affiliates, directors, officers, employees and representatives) to keep confidential any non-public information supplied to it by, or on behalf of, the Company or its Subsidiaries pursuant to the Transaction Documents (and which at the time is not, and does not thereafter become, publicly available or available to such Person or its affiliates from another source not known to be subject to a confidentiality obligation to such Person not to disclose such information), provided that nothing herein shall limit the disclosure by any Investor of any such information (i) to its affiliates and to its and its affiliates’ respective equityholders (including, without limitation, partners), directors, officers, employees, agents, trustees, counsel, advisors and representatives (it being understood that the Persons to whom such disclosure is made will be informed of the confidential nature of such information and instructed to keep such information confidential in accordance with this Section 4(i)(ii)) and each Investors shall be liable for any breach hereof by such Person; (ii) to any other party hereto; (iii) to any assignee or participant (or prospective assignee or participant) or any party to a Securitization (as defined in the Financing Agreement) so long as such assignee or participant (or prospective assignee or participant) or party to a Securitization first agrees, in writing, to be bound by confidentiality provisions similar in substance to this Section 4(i)(ii) (other than a Competitor (as defined in the Financing Agreement)); (iv) to the extent required by any applicable law or judicial process or as otherwise requested by any Governmental Entity, provided that the Investors shall (A) use commercially reasonable efforts to give the Company written notice prior to disclosing the information to the extent permitted by such requirement, (B) reasonably cooperate with the Company to obtain a protective order or similar confidential treatment, and (C) only disclose that portion of the confidential information as counsel for the Investor advises the Investor it must disclose pursuant to such requirement; (v) to the National Association of Insurance Commissioners or any similar organization, any examiner, auditor or accountant or any nationally recognized rating agency or otherwise to the extent consisting of general portfolio information that does not identify the Company or its Subsidiaries; (vi) in connection with any litigation to which any Investor is a party (so long as such Investor provides the Company or its Subsidiaries with prompt notice thereof to the extent permitted by applicable law); (vii) in connection with the exercise of any remedies hereunder or under any Transaction Document or any action or proceeding relating to any Transaction Document or the enforcement of rights hereunder or thereunder; or (viii) with the consent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b/>
          <w:caps w:val="false"/>
          <w:smallCaps w:val="false"/>
          <w:sz w:val="20"/>
        </w:rPr>
        <w:t>Reservation of Shares</w:t>
      </w:r>
      <w:r>
        <w:rPr>
          <w:rFonts w:ascii="Times New Roman" w:hAnsi="Times New Roman"/>
          <w:caps w:val="false"/>
          <w:smallCaps w:val="false"/>
          <w:sz w:val="20"/>
        </w:rPr>
        <w:t>. So long as: (i) any of the Preferred Shares remain outstanding, the Company shall take all action necessary to at all times have authorized, and reserved for the purpose of issuance from and after the date of the Stockholder Approval (such date, the “</w:t>
      </w:r>
      <w:r>
        <w:rPr>
          <w:rFonts w:ascii="Times New Roman" w:hAnsi="Times New Roman"/>
          <w:b/>
          <w:caps w:val="false"/>
          <w:smallCaps w:val="false"/>
          <w:sz w:val="20"/>
        </w:rPr>
        <w:t>Stockholder Approval Date</w:t>
      </w:r>
      <w:r>
        <w:rPr>
          <w:rFonts w:ascii="Times New Roman" w:hAnsi="Times New Roman"/>
          <w:caps w:val="false"/>
          <w:smallCaps w:val="false"/>
          <w:sz w:val="20"/>
        </w:rPr>
        <w:t>”), at least 100% of the maximum number of Conversion Shares issuable upon conversion of all the Preferred Shares then outstanding, and (ii) any of the New Penny Warrants remain outstanding, the Company shall take all action necessary to at all times have authorized, and reserved for the purpose of issuance at least 100% of the maximum number of New Penny Warrant Shares issuable upon exercise of all the New Penny Warrants then outstanding (the number of shares of Common Stock in (i) and (ii), collectively, the “</w:t>
      </w:r>
      <w:r>
        <w:rPr>
          <w:rFonts w:ascii="Times New Roman" w:hAnsi="Times New Roman"/>
          <w:b/>
          <w:caps w:val="false"/>
          <w:smallCaps w:val="false"/>
          <w:sz w:val="20"/>
        </w:rPr>
        <w:t>Required Reserve Amount</w:t>
      </w:r>
      <w:r>
        <w:rPr>
          <w:rFonts w:ascii="Times New Roman" w:hAnsi="Times New Roman"/>
          <w:caps w:val="false"/>
          <w:smallCaps w:val="false"/>
          <w:sz w:val="20"/>
        </w:rPr>
        <w:t>”); provided that at no time shall the number of shares of Common Stock reserved pursuant to this Section 4(j) be reduced other than proportionally in connection with any conversion, exercise and/or redemption, as applicable of Preferred Shares and New Penny Warrants.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b/>
          <w:caps w:val="false"/>
          <w:smallCaps w:val="false"/>
          <w:sz w:val="20"/>
        </w:rPr>
        <w:t>Conduct of Business</w:t>
      </w:r>
      <w:r>
        <w:rPr>
          <w:rFonts w:ascii="Times New Roman" w:hAnsi="Times New Roman"/>
          <w:caps w:val="false"/>
          <w:smallCaps w:val="false"/>
          <w:sz w:val="20"/>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b/>
          <w:caps w:val="false"/>
          <w:smallCaps w:val="false"/>
          <w:sz w:val="20"/>
        </w:rPr>
        <w:t>Passive Foreign Investment Company</w:t>
      </w:r>
      <w:r>
        <w:rPr>
          <w:rFonts w:ascii="Times New Roman" w:hAnsi="Times New Roman"/>
          <w:caps w:val="false"/>
          <w:smallCaps w:val="false"/>
          <w:sz w:val="20"/>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b/>
          <w:caps w:val="false"/>
          <w:smallCaps w:val="false"/>
          <w:sz w:val="20"/>
        </w:rPr>
        <w:t>U.S. Real Property Holding Corporation</w:t>
      </w:r>
      <w:r>
        <w:rPr>
          <w:rFonts w:ascii="Times New Roman" w:hAnsi="Times New Roman"/>
          <w:caps w:val="false"/>
          <w:smallCaps w:val="false"/>
          <w:sz w:val="20"/>
        </w:rPr>
        <w:t>. Neither the Company nor any of its Subsidiaries is, so long as any of the Securities are held by any of the Investors, shall become, a USRPHC, and the Company and each Subsidiary shall so certify upon any Investor’s request. The Company will determine each year whether the Company is reasonably expected to become a USRPHC for such year, and shall notify the Investors of this determination as soon as reasonably practicable following the end of such year, provided that, to the extent the Company becomes aware of any facts or other information that would reasonably be expected to result in the Company becoming a USRPHC, the Company shall provide notice to the Investors as soon as reasonably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b/>
          <w:caps w:val="false"/>
          <w:smallCaps w:val="false"/>
          <w:sz w:val="20"/>
        </w:rPr>
        <w:t>Restriction on Redemption and Cash Dividends</w:t>
      </w:r>
      <w:r>
        <w:rPr>
          <w:rFonts w:ascii="Times New Roman" w:hAnsi="Times New Roman"/>
          <w:caps w:val="false"/>
          <w:smallCaps w:val="false"/>
          <w:sz w:val="20"/>
        </w:rPr>
        <w:t>. Prior to the date no Preferred Shares remain outstanding, the Company shall not, directly or indirectly, redeem, or declare or pay any cash dividend or distribution on any securities of the Company without the prior express written consent of the Investors (other than as required by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b/>
          <w:caps w:val="false"/>
          <w:smallCaps w:val="false"/>
          <w:sz w:val="20"/>
        </w:rPr>
        <w:t>Corporate Existence</w:t>
      </w:r>
      <w:r>
        <w:rPr>
          <w:rFonts w:ascii="Times New Roman" w:hAnsi="Times New Roman"/>
          <w:caps w:val="false"/>
          <w:smallCaps w:val="false"/>
          <w:sz w:val="20"/>
        </w:rPr>
        <w:t>. So long as any Investor beneficially owns any Preferred Shares or New Penny Warrants, the Company shall not be party to any Fundamental Transaction (as defined in the Certificate of Designation) unless the Company is in compliance with the applicable provisions governing Fundamental Transactions set forth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b/>
          <w:caps w:val="false"/>
          <w:smallCaps w:val="false"/>
          <w:sz w:val="20"/>
        </w:rPr>
        <w:t>Stock Splits</w:t>
      </w:r>
      <w:r>
        <w:rPr>
          <w:rFonts w:ascii="Times New Roman" w:hAnsi="Times New Roman"/>
          <w:caps w:val="false"/>
          <w:smallCaps w:val="false"/>
          <w:sz w:val="20"/>
        </w:rPr>
        <w:t>. Prior to the date no Preferred Shares remain outstanding, with the exception of the Reverse Stock Split, the Company shall not effect any stock combination, reverse stock split or other similar transaction (or make any public announcement or disclosure with respect to any of the foregoing) without the prior written consent of the Required Holders except as necessary to maintain the listing of the Common Stock on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b/>
          <w:caps w:val="false"/>
          <w:smallCaps w:val="false"/>
          <w:sz w:val="20"/>
        </w:rPr>
        <w:t>Conversion and Exercise Procedures</w:t>
      </w:r>
      <w:r>
        <w:rPr>
          <w:rFonts w:ascii="Times New Roman" w:hAnsi="Times New Roman"/>
          <w:caps w:val="false"/>
          <w:smallCaps w:val="false"/>
          <w:sz w:val="20"/>
        </w:rPr>
        <w:t>. Each of the forms of Exercise Notice (as defined in the New Penny Warrants) included in the New Penny Warrants and the form of Conversion Notice (as defined in the Certificate of Designation) included in the Certificate of Designation set forth the totality of the procedures required of the Investor in order to exercise the New Penny Warrants or convert the Preferred Shares. Except as provided in Section 5(d), no additional legal opinion, other information or instructions shall be required of the Investors to exercise their New Penny Warrants or convert their Preferred Shares. The Company shall honor exercises of the New Penny Warrants and conversions of the Preferred Shares and shall deliver the Conversion Shares and New Penny Warrant Shares in accordance with the terms, conditions and time periods set forth in the Certificate of Designation and the New Penny Warrants. Without limiting the preceding sentences, no ink-original Conversion Notice or Exercise Notice shall be required, nor shall any medallion guarantee (or other type of guarantee or notarization) of any Conversion Notice or Exercise Notice form be required in order to convert the Preferred Shares or exercise the New Penny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b/>
          <w:caps w:val="false"/>
          <w:smallCaps w:val="false"/>
          <w:sz w:val="20"/>
        </w:rPr>
        <w:t>Regulation M</w:t>
      </w:r>
      <w:r>
        <w:rPr>
          <w:rFonts w:ascii="Times New Roman" w:hAnsi="Times New Roman"/>
          <w:caps w:val="false"/>
          <w:smallCaps w:val="false"/>
          <w:sz w:val="20"/>
        </w:rPr>
        <w:t>. The Company will not take any action prohibited by Regulation M under the Exchange Act, in connection with the distribution of the Securities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b/>
          <w:caps w:val="false"/>
          <w:smallCaps w:val="false"/>
          <w:sz w:val="20"/>
        </w:rPr>
        <w:t>General Solicitation</w:t>
      </w:r>
      <w:r>
        <w:rPr>
          <w:rFonts w:ascii="Times New Roman" w:hAnsi="Times New Roman"/>
          <w:caps w:val="false"/>
          <w:smallCaps w:val="false"/>
          <w:sz w:val="20"/>
        </w:rPr>
        <w:t>. None of the Company, any of its affiliates (as defined in Rule 501(b) under the Securities Act) or any person acting on behalf of the Company or such affiliate will solicit any offer to buy or offer or sell the Securities by means of any form of general solicitation or general advertising within the meaning of Regulation D, including: (i) any advertisement, article, notice or other communication published in any newspaper, magazine or similar medium or broadcast over television or radio; and (ii) any seminar or meeting whose attendees have been invited by any general solicitation or general 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b/>
          <w:caps w:val="false"/>
          <w:smallCaps w:val="false"/>
          <w:sz w:val="20"/>
        </w:rPr>
        <w:t>Integration</w:t>
      </w:r>
      <w:r>
        <w:rPr>
          <w:rFonts w:ascii="Times New Roman" w:hAnsi="Times New Roman"/>
          <w:caps w:val="false"/>
          <w:smallCaps w:val="false"/>
          <w:sz w:val="20"/>
        </w:rPr>
        <w:t>. None of the Company, any of its affiliates (as defined in Rule 501(b) under the Securities Act), or any person acting on behalf of the Company or such affiliate will sell, offer for sale, or solicit offers to buy or otherwise negotiate in respect of any security (as defined in the Securities Act) which will be integrated with the sale of the Securities in a manner which would require the registration of the Securities under the Securities Act or require stockholder approval under the rules and regulations of the Principal Market and the Company will take all action that is appropriate or necessary to assure that its offerings of other securities will not be integrated for purposes of the Securities Act or the rules and regulations of the Principal Market, with the issuance of Securities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    </w:t>
      </w:r>
      <w:r>
        <w:rPr>
          <w:rFonts w:ascii="Times New Roman" w:hAnsi="Times New Roman"/>
          <w:b/>
          <w:caps w:val="false"/>
          <w:smallCaps w:val="false"/>
          <w:sz w:val="20"/>
        </w:rPr>
        <w:t>Notice of Disqualification Events</w:t>
      </w:r>
      <w:r>
        <w:rPr>
          <w:rFonts w:ascii="Times New Roman" w:hAnsi="Times New Roman"/>
          <w:caps w:val="false"/>
          <w:smallCaps w:val="false"/>
          <w:sz w:val="20"/>
        </w:rPr>
        <w:t>. The Company will notify the Investors in writing, prior to the Closing Date of (i) any Disqualification Event relating to any Issuer Covered Person and (ii) any event that would, with the passage of time, become a Disqualification Event relating to any Issuer Covered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b/>
          <w:caps w:val="false"/>
          <w:smallCaps w:val="false"/>
          <w:sz w:val="20"/>
        </w:rPr>
        <w:t>Stockholder Approval; Reverse Stock Split</w:t>
      </w:r>
      <w:r>
        <w:rPr>
          <w:rFonts w:ascii="Times New Roman" w:hAnsi="Times New Roman"/>
          <w:caps w:val="false"/>
          <w:smallCaps w:val="false"/>
          <w:sz w:val="20"/>
        </w:rPr>
        <w:t>. No later than August 13, 2026, the Company shall prepare and file with the SEC a preliminary proxy statement or information statement, as applicable, relating to a meeting of the Company’s stockholders or action by written consent of the Company’s stockholders for the purpose of obtaining the Stockholder Approval. The Company shall use its reasonable best efforts to (i) respond promptly to any comments of the SEC or its staff with respect to such proxy statement or information statement, (ii) cause a definitive proxy statement or information statement to be filed with the SEC and mailed or otherwise furnished to the Company’s stockholders as promptly as practicable after the resolution of any such comments or the expiration of any applicable SEC review period, and (iii) obtain the Stockholder Approval as promptly as practicable following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fiduciary duties of the Board under applicable law, the Board shall recommend that the Company’s stockholders vote in favor of the Stockholder Approval matters, shall include such recommendation in the Company’s proxy statement or information statement, as applicable, and shall not change, withdraw, withhold, qualify or modify, or publicly propose to change, withdraw, withhold, qualify or modify, such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Company seeks Stockholder Approval at a meeting of stockholders and the Stockholder Approval is not obtained at such meeting, then the Company shall use its reasonable best efforts to adjourn or postpone such meeting one or more times to a date or dates not later than ten (10) calendar days after the originally scheduled date of such meeting, and to solicit additional proxies in favor of the Stockholder Approval matters. If the Stockholder Approval is not obtained at such meeting, as adjourned or postponed, the Company shall call additional meetings of stockholders as promptly as practicable thereafter, but in any event at least once every 90 calendar days, and shall use its reasonable best efforts to obtain the Stockholder Approval at each such meeting, until the Stockholder Approval is obtained or this Agreement is terminated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soon as practicable after the Stockholder Approval Date, the Company shall take all corporate action necessary to implement the Reverse Stock Split, including making any required filing with the Secretary of State of the State of Delaware and giving any notices required by the Principal Market, the Company’s transfer agent or any subsequent transfer agent (as applicable, the “</w:t>
      </w:r>
      <w:r>
        <w:rPr>
          <w:rFonts w:ascii="Times New Roman" w:hAnsi="Times New Roman"/>
          <w:b/>
          <w:caps w:val="false"/>
          <w:smallCaps w:val="false"/>
          <w:sz w:val="20"/>
        </w:rPr>
        <w:t>Transfer Agent</w:t>
      </w:r>
      <w:r>
        <w:rPr>
          <w:rFonts w:ascii="Times New Roman" w:hAnsi="Times New Roman"/>
          <w:caps w:val="false"/>
          <w:smallCaps w:val="false"/>
          <w:sz w:val="20"/>
        </w:rPr>
        <w:t>”) or The Depository Trust Company (“</w:t>
      </w:r>
      <w:r>
        <w:rPr>
          <w:rFonts w:ascii="Times New Roman" w:hAnsi="Times New Roman"/>
          <w:b/>
          <w:caps w:val="false"/>
          <w:smallCaps w:val="false"/>
          <w:sz w:val="20"/>
        </w:rPr>
        <w:t>DTC</w:t>
      </w:r>
      <w:r>
        <w:rPr>
          <w:rFonts w:ascii="Times New Roman" w:hAnsi="Times New Roman"/>
          <w:caps w:val="false"/>
          <w:smallCaps w:val="false"/>
          <w:sz w:val="20"/>
        </w:rPr>
        <w:t>”). The Company shall keep the Investors reasonably informed regarding the status of the Stockholder Approval process, including any material communications with the SEC, the Principal Market, the Transfer Agent or DTC relating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    </w:t>
      </w:r>
      <w:r>
        <w:rPr>
          <w:rFonts w:ascii="Times New Roman" w:hAnsi="Times New Roman"/>
          <w:b/>
          <w:caps w:val="false"/>
          <w:smallCaps w:val="false"/>
          <w:sz w:val="20"/>
        </w:rPr>
        <w:t>Registration Rights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Registration Statement</w:t>
      </w:r>
      <w:r>
        <w:rPr>
          <w:rFonts w:ascii="Times New Roman" w:hAnsi="Times New Roman"/>
          <w:caps w:val="false"/>
          <w:smallCaps w:val="false"/>
          <w:sz w:val="20"/>
        </w:rPr>
        <w:t>. The Company shall file (A) within 90 calendar days of the date hereof with respect to the New Penny Warrant Shares, and (B) within 90 calendar days of the Closing Date with respect to the Conversion Shares (each, a “</w:t>
      </w:r>
      <w:r>
        <w:rPr>
          <w:rFonts w:ascii="Times New Roman" w:hAnsi="Times New Roman"/>
          <w:b/>
          <w:caps w:val="false"/>
          <w:smallCaps w:val="false"/>
          <w:sz w:val="20"/>
        </w:rPr>
        <w:t>Filing Deadline</w:t>
      </w:r>
      <w:r>
        <w:rPr>
          <w:rFonts w:ascii="Times New Roman" w:hAnsi="Times New Roman"/>
          <w:caps w:val="false"/>
          <w:smallCaps w:val="false"/>
          <w:sz w:val="20"/>
        </w:rPr>
        <w:t>”), a registration statement for a shelf registration on Form S-3 (the “</w:t>
      </w:r>
      <w:r>
        <w:rPr>
          <w:rFonts w:ascii="Times New Roman" w:hAnsi="Times New Roman"/>
          <w:b/>
          <w:caps w:val="false"/>
          <w:smallCaps w:val="false"/>
          <w:sz w:val="20"/>
        </w:rPr>
        <w:t>Form S-3 Shelf</w:t>
      </w:r>
      <w:r>
        <w:rPr>
          <w:rFonts w:ascii="Times New Roman" w:hAnsi="Times New Roman"/>
          <w:caps w:val="false"/>
          <w:smallCaps w:val="false"/>
          <w:sz w:val="20"/>
        </w:rPr>
        <w:t>”), or if the Company is ineligible to use a Form S-3 Shelf, a registration statement for a shelf registration on Form S-1 (the “</w:t>
      </w:r>
      <w:r>
        <w:rPr>
          <w:rFonts w:ascii="Times New Roman" w:hAnsi="Times New Roman"/>
          <w:b/>
          <w:caps w:val="false"/>
          <w:smallCaps w:val="false"/>
          <w:sz w:val="20"/>
        </w:rPr>
        <w:t>Form S-1 Shelf</w:t>
      </w:r>
      <w:r>
        <w:rPr>
          <w:rFonts w:ascii="Times New Roman" w:hAnsi="Times New Roman"/>
          <w:caps w:val="false"/>
          <w:smallCaps w:val="false"/>
          <w:sz w:val="20"/>
        </w:rPr>
        <w:t>” and, together with the Form S-3 Shelf and any Subsequent Shelf Registration Statement (as defined below), each, a “</w:t>
      </w:r>
      <w:r>
        <w:rPr>
          <w:rFonts w:ascii="Times New Roman" w:hAnsi="Times New Roman"/>
          <w:b/>
          <w:caps w:val="false"/>
          <w:smallCaps w:val="false"/>
          <w:sz w:val="20"/>
        </w:rPr>
        <w:t>Registration Statement</w:t>
      </w:r>
      <w:r>
        <w:rPr>
          <w:rFonts w:ascii="Times New Roman" w:hAnsi="Times New Roman"/>
          <w:caps w:val="false"/>
          <w:smallCaps w:val="false"/>
          <w:sz w:val="20"/>
        </w:rPr>
        <w:t xml:space="preserve">”), in each case covering the resale of all Conversion Shares and New Penny Warrant Shares, on a delayed or continuous basis;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each Investor shall have delivered to the Company all reasonably requested information regarding such Investor and its beneficial ownership of Conversion Shares and New Penny Warrant Shares not later than five (5) Business Days prior to the applicable filing of the Registration Statement. The Registration Statement shall provide for the resale of the Conversion Shares and New Penny Warrant Shares, as applicable, pursuant to any method or combination of methods legally available to, and requested by, the applicable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b/>
          <w:caps w:val="false"/>
          <w:smallCaps w:val="false"/>
          <w:sz w:val="20"/>
        </w:rPr>
        <w:t>Effectiveness of Registration Statement</w:t>
      </w:r>
      <w:r>
        <w:rPr>
          <w:rFonts w:ascii="Times New Roman" w:hAnsi="Times New Roman"/>
          <w:caps w:val="false"/>
          <w:smallCaps w:val="false"/>
          <w:sz w:val="20"/>
        </w:rPr>
        <w:t>. The Company shall use its commercially reasonable efforts to cause the Registration Statement to become effective by the 30th calendar day following the earlier of the (i) applicable Filing Deadline and (ii) the date the Registration Statement is filed with the Commission; provided however, that  in the event the Company is notified by the SEC that the SEC will review the Registration Statement, by the fifth Business Day after the date the Company is notified (orally or in writing, whichever is earlier) by the SEC that the SEC has completed its review of the Registration Statement or in the event  the Company is notified (orally or in writing, whichever is earlier) by the SEC that the Registration Statement will not be subject to further review by the fifth Business Day after the date the Company is notified (orally or in writing, whichever is earlier); provided further that if the applicable deadline falls on a Saturday, Sunday or other day that the SEC is closed for business, the next Business Day immediately following the day determined under clause (i) or clause (ii) on which the SEC is open for business (the date determined under clause (i), (ii) or (iii), the “</w:t>
      </w:r>
      <w:r>
        <w:rPr>
          <w:rFonts w:ascii="Times New Roman" w:hAnsi="Times New Roman"/>
          <w:b/>
          <w:caps w:val="false"/>
          <w:smallCaps w:val="false"/>
          <w:sz w:val="20"/>
        </w:rPr>
        <w:t>Effectiveness Deadline</w:t>
      </w:r>
      <w:r>
        <w:rPr>
          <w:rFonts w:ascii="Times New Roman" w:hAnsi="Times New Roman"/>
          <w:caps w:val="false"/>
          <w:smallCaps w:val="false"/>
          <w:sz w:val="20"/>
        </w:rPr>
        <w:t>”). The Company shall maintain a Registration Statement in accordance with this Agreement and shall prepare and file such amendments, including post-effective amendments, and supplements as may be reasonably necessary to keep such Registration Statement continuously effective, available for use and in compliance with the Securities Act with respect to the Conversion Shares and New Penny Warrant Shares until the earlier of (1) such time as all Conversion Shares and New Penny Warrant Shares have been sold, transferred or otherwise disposed of pursuant to a Registration Statement or Rule 144, and (2) such time as all remaining Conversion Shares and New Penny Warrant Shares held by, or issuable to, such Investor may be sold pursuant to Rule 144 without regard to any volume or manner-of-sale requirement and all restrictive legends have been removed.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b/>
          <w:caps w:val="false"/>
          <w:smallCaps w:val="false"/>
          <w:sz w:val="20"/>
        </w:rPr>
        <w:t>Liquidated Damages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Registration Failure</w:t>
      </w:r>
      <w:r>
        <w:rPr>
          <w:rFonts w:ascii="Times New Roman" w:hAnsi="Times New Roman"/>
          <w:caps w:val="false"/>
          <w:smallCaps w:val="false"/>
          <w:sz w:val="20"/>
        </w:rPr>
        <w:t>. If (i) the Company fails to file the Form S-3 Shelf on or prior to the applicable filing deadline as set forth in Section 4(w)(i) and Section 4(w)(ii), or (ii) such Registration Statement is not declared effective by the SEC on or prior to the Effectiveness Deadline (each, a “</w:t>
      </w:r>
      <w:r>
        <w:rPr>
          <w:rFonts w:ascii="Times New Roman" w:hAnsi="Times New Roman"/>
          <w:b/>
          <w:caps w:val="false"/>
          <w:smallCaps w:val="false"/>
          <w:sz w:val="20"/>
        </w:rPr>
        <w:t>Registration Failure</w:t>
      </w:r>
      <w:r>
        <w:rPr>
          <w:rFonts w:ascii="Times New Roman" w:hAnsi="Times New Roman"/>
          <w:caps w:val="false"/>
          <w:smallCaps w:val="false"/>
          <w:sz w:val="20"/>
        </w:rPr>
        <w:t>”), then, in addition to any other rights the Investors may have hereunder or under applicable law, the Company shall pay to each Investor then holding Registrable Securities, as partial liquidated damages and not as a penalty (the “</w:t>
      </w:r>
      <w:r>
        <w:rPr>
          <w:rFonts w:ascii="Times New Roman" w:hAnsi="Times New Roman"/>
          <w:b/>
          <w:caps w:val="false"/>
          <w:smallCaps w:val="false"/>
          <w:sz w:val="20"/>
        </w:rPr>
        <w:t>Registration Liquidated Damages</w:t>
      </w:r>
      <w:r>
        <w:rPr>
          <w:rFonts w:ascii="Times New Roman" w:hAnsi="Times New Roman"/>
          <w:caps w:val="false"/>
          <w:smallCaps w:val="false"/>
          <w:sz w:val="20"/>
        </w:rPr>
        <w:t>”), an amount in cash equal to 5.0% of the aggregate purchase price paid or deemed paid by such Investor for the Preferred Shares and New Penny Warrants then held by such Investor or otherwise giving rise to the Registrable Securities required to be included in such Registration Statement, for the initial thirty (30)-day period of such Registration Failure and for each thirty (30)-day period (or pro rata portion thereof with respect to a final period, if any) thereafter until the Registration Failure is cured. The Registration Liquidated Damages shall be paid monthly within ten (10) Business Days of the date of such Registration Failure and the end of each subsequent thirty (30)-day period (or pro rata portion thereof with respect to a final period, if any) thereafter until the Registration Failure is cured. Such payments shall be made in cash to each Investor then holding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Maintenance Failure</w:t>
      </w:r>
      <w:r>
        <w:rPr>
          <w:rFonts w:ascii="Times New Roman" w:hAnsi="Times New Roman"/>
          <w:caps w:val="false"/>
          <w:smallCaps w:val="false"/>
          <w:sz w:val="20"/>
        </w:rPr>
        <w:t>. If, after a Registration Statement has been declared effective by the SEC or otherwise becomes effective, sales cannot be made pursuant to such Registration Statement for any reason (including, without limitation, by reason of a stop order or the Company’s failure to update such Registration Statement) (a “</w:t>
      </w:r>
      <w:r>
        <w:rPr>
          <w:rFonts w:ascii="Times New Roman" w:hAnsi="Times New Roman"/>
          <w:b/>
          <w:caps w:val="false"/>
          <w:smallCaps w:val="false"/>
          <w:sz w:val="20"/>
        </w:rPr>
        <w:t>Maintenance Failure</w:t>
      </w:r>
      <w:r>
        <w:rPr>
          <w:rFonts w:ascii="Times New Roman" w:hAnsi="Times New Roman"/>
          <w:caps w:val="false"/>
          <w:smallCaps w:val="false"/>
          <w:sz w:val="20"/>
        </w:rPr>
        <w:t>”), then, in addition to any other rights the Investors may have hereunder or under applicable law, the Company shall pay to each Investor then holding Registrable Securities, as partial liquidated damages and not as a penalty (the “</w:t>
      </w:r>
      <w:r>
        <w:rPr>
          <w:rFonts w:ascii="Times New Roman" w:hAnsi="Times New Roman"/>
          <w:b/>
          <w:caps w:val="false"/>
          <w:smallCaps w:val="false"/>
          <w:sz w:val="20"/>
        </w:rPr>
        <w:t>Effectiveness Liquidated Damages</w:t>
      </w:r>
      <w:r>
        <w:rPr>
          <w:rFonts w:ascii="Times New Roman" w:hAnsi="Times New Roman"/>
          <w:caps w:val="false"/>
          <w:smallCaps w:val="false"/>
          <w:sz w:val="20"/>
        </w:rPr>
        <w:t>,” and together with the Registration Liquidated Damages, the “</w:t>
      </w:r>
      <w:r>
        <w:rPr>
          <w:rFonts w:ascii="Times New Roman" w:hAnsi="Times New Roman"/>
          <w:b/>
          <w:caps w:val="false"/>
          <w:smallCaps w:val="false"/>
          <w:sz w:val="20"/>
        </w:rPr>
        <w:t>Liquidated Damages</w:t>
      </w:r>
      <w:r>
        <w:rPr>
          <w:rFonts w:ascii="Times New Roman" w:hAnsi="Times New Roman"/>
          <w:caps w:val="false"/>
          <w:smallCaps w:val="false"/>
          <w:sz w:val="20"/>
        </w:rPr>
        <w:t>”), an amount in cash equal to 5.0% of the aggregate purchase price paid or deemed paid by such Investor for the Preferred Shares and New Penny Warrants then held by such Investor or otherwise giving rise to the Registrable Securities required to be included in such Registration Statement, for the initial thirty (30)-day period of such Maintenance Failure and for each thirty (30)-day period (pro rata for any portion thereof) thereafter until the Maintenance Failure is cured. The Effectiveness Liquidated Damages shall be paid monthly within ten (10) Business Days of the date of such Maintenance Failure and the end of each subsequent thirty (30)-day period (pro rata for any portion thereof) thereafter until the Maintenance Failure is cured. Such payments shall be made in cash to each Investor then holding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General Provisions</w:t>
      </w:r>
      <w:r>
        <w:rPr>
          <w:rFonts w:ascii="Times New Roman" w:hAnsi="Times New Roman"/>
          <w:caps w:val="false"/>
          <w:smallCaps w:val="false"/>
          <w:sz w:val="20"/>
        </w:rPr>
        <w:t>. Interest shall accrue at a rate of 15.0% per annum, or, if lower, the maximum rate permitted by applicable law, accruing daily from the date such Liquidated Damages are due until such amounts, together with all accrued interest thereon, are paid in full. Notwithstanding the foregoing, in no event shall the aggregate amount of Liquidated Damages payable to any Investor pursuant to this Section 4(w)(iii) exceed 6.0% of the aggregate purchase price paid or deemed paid by such Investor for such Preferred Shares and New Penny Warrants (it being understood that this cap shall not relieve the Company of any Liquidated Damages accruing prior to such cap being reached). The Liquidated Damages payable pursuant to this Section 4(w)(iii) shall be prorated for any partial thirty (30)-day period during which the applicable failure remains uncured.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b/>
          <w:caps w:val="false"/>
          <w:smallCaps w:val="false"/>
          <w:sz w:val="20"/>
        </w:rPr>
        <w:t>Conversion to Form S-3</w:t>
      </w:r>
      <w:r>
        <w:rPr>
          <w:rFonts w:ascii="Times New Roman" w:hAnsi="Times New Roman"/>
          <w:caps w:val="false"/>
          <w:smallCaps w:val="false"/>
          <w:sz w:val="20"/>
        </w:rPr>
        <w:t>. In the event the Company files a Form S-1 Shelf, the Company shall use its commercially reasonable efforts to convert the Form S-1 Shelf (and any Subsequent Shelf Registration Statement (as defined below)) to a Form S-3 Shelf as soon as reasonably practicable after the Company is eligible to use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b/>
          <w:caps w:val="false"/>
          <w:smallCaps w:val="false"/>
          <w:sz w:val="20"/>
        </w:rPr>
        <w:t>Continued Effectiveness</w:t>
      </w:r>
      <w:r>
        <w:rPr>
          <w:rFonts w:ascii="Times New Roman" w:hAnsi="Times New Roman"/>
          <w:caps w:val="false"/>
          <w:smallCaps w:val="false"/>
          <w:sz w:val="20"/>
        </w:rPr>
        <w:t>. If any Registration Statement ceases to be effective under the Securities Act for any reason at any time during the period described above and while Preferred Shares or New Penny Warrants remain outstanding, the Company shall use its commercially reasonable efforts to as promptly as is reasonably practicable cause such Registration Statement to again become effective under the Securities Act (including using its commercially reasonable efforts to obtain the prompt withdrawal of any order suspending the effectiveness of such Registration Statement),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(a “</w:t>
      </w:r>
      <w:r>
        <w:rPr>
          <w:rFonts w:ascii="Times New Roman" w:hAnsi="Times New Roman"/>
          <w:b/>
          <w:caps w:val="false"/>
          <w:smallCaps w:val="false"/>
          <w:sz w:val="20"/>
        </w:rPr>
        <w:t>Subsequent Shelf Registration Statement</w:t>
      </w:r>
      <w:r>
        <w:rPr>
          <w:rFonts w:ascii="Times New Roman" w:hAnsi="Times New Roman"/>
          <w:caps w:val="false"/>
          <w:smallCaps w:val="false"/>
          <w:sz w:val="20"/>
        </w:rPr>
        <w:t>”) registering the resale of all New Penny Warrant Shares and Conversion Shares from time to time, and pursuant to any method or combination of methods legally available to, and reasonably requested by, any Investor whose Conversion Shares or New Penny Warrant Shares are included therein. Any such Subsequent Shelf Registration Statement shall be on Form S-3 to the extent that the Company is eligible to use such form. Otherwise, such Subsequent Shelf Registration Statement shall be on another appropriate form.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and (ii) keep such Subsequent Shelf Registration Statement continuously effective and available for use for the remainder of the period set forth in Section 4(w)(ii).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b/>
          <w:caps w:val="false"/>
          <w:smallCaps w:val="false"/>
          <w:sz w:val="20"/>
        </w:rPr>
        <w:t>Notice of Stop Order</w:t>
      </w:r>
      <w:r>
        <w:rPr>
          <w:rFonts w:ascii="Times New Roman" w:hAnsi="Times New Roman"/>
          <w:caps w:val="false"/>
          <w:smallCaps w:val="false"/>
          <w:sz w:val="20"/>
        </w:rPr>
        <w:t>. The Company shall provide prompt written notice to the Investors of any time the SEC has issued a stop order with respect to a Registration Statement, has otherwise suspended or withdrawn the effectiveness of a Registration Statement, or the Company has suspended or withdrawn the effectiveness of a Registration Statement. In the event of such notice, the Company shall use commercially reasonable efforts to cause the applicable Registration Statement to become effective or available for resale as promptly as reasonably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w:t>
      </w:r>
      <w:r>
        <w:rPr>
          <w:rFonts w:ascii="Times New Roman" w:hAnsi="Times New Roman"/>
          <w:b/>
          <w:caps w:val="false"/>
          <w:smallCaps w:val="false"/>
          <w:sz w:val="20"/>
        </w:rPr>
        <w:t>Expenses</w:t>
      </w:r>
      <w:r>
        <w:rPr>
          <w:rFonts w:ascii="Times New Roman" w:hAnsi="Times New Roman"/>
          <w:caps w:val="false"/>
          <w:smallCaps w:val="false"/>
          <w:sz w:val="20"/>
        </w:rPr>
        <w:t>. In connection with any registration pursuant to this Section 4(w), the Company shall pay any applicable filing fee with respect to the Registration Statement and any Subsequent Shelf Registration Statement, and pay its own direct costs, including the professional fees of its own counsel and independent registered accountants. The Investor shall bear the cost of its own counsel, other advisors and any broker or other intermediary involved in any resale, including all applicable underwriting discounts and commissions, brokers’ commissions and stock transfer Taxes, if any, on the New Penny Warrant Shares or Conversion Shares sold by the Investor in any such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(viii)    </w:t>
      </w:r>
      <w:r>
        <w:rPr>
          <w:rFonts w:ascii="Times New Roman" w:hAnsi="Times New Roman"/>
          <w:b/>
          <w:caps w:val="false"/>
          <w:smallCaps w:val="false"/>
          <w:sz w:val="20"/>
        </w:rPr>
        <w:t>Updating Registration Statement</w:t>
      </w:r>
      <w:r>
        <w:rPr>
          <w:rFonts w:ascii="Times New Roman" w:hAnsi="Times New Roman"/>
          <w:caps w:val="false"/>
          <w:smallCaps w:val="false"/>
          <w:sz w:val="20"/>
        </w:rPr>
        <w:t>. Upon receipt of written notice from the Company that a Registration Statement or prospectus contains an untrue statement of a material fact or an omission to state a material fact required to be stated in a Registration Statement or prospectus, or necessary to make the statements in a prospectus, in the light of the circumstances under which they were made, not misleading (a “</w:t>
      </w:r>
      <w:r>
        <w:rPr>
          <w:rFonts w:ascii="Times New Roman" w:hAnsi="Times New Roman"/>
          <w:b/>
          <w:caps w:val="false"/>
          <w:smallCaps w:val="false"/>
          <w:sz w:val="20"/>
        </w:rPr>
        <w:t>Misstatement</w:t>
      </w:r>
      <w:r>
        <w:rPr>
          <w:rFonts w:ascii="Times New Roman" w:hAnsi="Times New Roman"/>
          <w:caps w:val="false"/>
          <w:smallCaps w:val="false"/>
          <w:sz w:val="20"/>
        </w:rPr>
        <w:t>”), the Investor shall forthwith discontinue disposition of securities pursuant to such Registration Statement or prospectus until it has received copies of a supplemented or amended prospectus correcting the Misstatement (and the Company covenants to prepare and file such supplement or amendment as soon as reasonably practicable after giving such notice), or until it is advised in writing by the Company that the use of the prospectus may be resumed.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(ix)    </w:t>
      </w:r>
      <w:r>
        <w:rPr>
          <w:rFonts w:ascii="Times New Roman" w:hAnsi="Times New Roman"/>
          <w:b/>
          <w:caps w:val="false"/>
          <w:smallCaps w:val="false"/>
          <w:sz w:val="20"/>
        </w:rPr>
        <w:t>Adverse Disclosure</w:t>
      </w:r>
      <w:r>
        <w:rPr>
          <w:rFonts w:ascii="Times New Roman" w:hAnsi="Times New Roman"/>
          <w:caps w:val="false"/>
          <w:smallCaps w:val="false"/>
          <w:sz w:val="20"/>
        </w:rPr>
        <w:t>. If the filing, initial effectiveness or continued use of a Registration Statement in respect of any registration at any time would require the Company to make any public disclosure of material non-public information, which disclosure, in the good faith determination of the Board,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public or would require the inclusion in such Registration Statement of financial statements that are unavailable to the Company, the Company may, upon giving prompt written notice of such action to the Investor, delay the filing or initial effectiveness of, or suspend use of, such Registration Statement for the shortest period of time, but in no event more than three times or an aggregate of 120 days in any 12-month period, determined in good faith by the Board to be necessary for such purpose. In the event the Company exercises its rights under the preceding sentence, the Investor agrees to suspend, immediately upon its receipt of the notice referred to above, its use of the prospectus relating to such registration in connection with any sale of, or offer to sell, securities pursuant to such Registration Statement or prospectus. The Company shall immediately notify the Investor of the expiration of any period during which it exercised its rights under this Section 4(w).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During any suspension of use of a Registration Statement pursuant to this Section 4(w)(ix), the Company shall not be required to remove restrictive legends from Conversion Shares or New Penny Warrant Shares on the basis of such Registration Statement being available for resale, unless such Conversion Shares or New Penny Warrant Shares may be sold or transferred without restriction, pursuant to Rule 144 or another available exemption from registration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    </w:t>
      </w:r>
      <w:r>
        <w:rPr>
          <w:rFonts w:ascii="Times New Roman" w:hAnsi="Times New Roman"/>
          <w:b/>
          <w:caps w:val="false"/>
          <w:smallCaps w:val="false"/>
          <w:sz w:val="20"/>
        </w:rPr>
        <w:t>Indemnification</w:t>
      </w:r>
      <w:r>
        <w:rPr>
          <w:rFonts w:ascii="Times New Roman" w:hAnsi="Times New Roman"/>
          <w:caps w:val="false"/>
          <w:smallCaps w:val="false"/>
          <w:sz w:val="20"/>
        </w:rPr>
        <w:t>. The Company agrees to indemnify and hold harmless the Investor, its officers, managers, directors, trustees, equityholders, beneficiaries, affiliates, agents and representatives and each Person who controls such Investor (within the meaning of the Securities Act) against all losses, claims, damages, liabilities and expenses (including reasonable and documented attorneys’ fees) (or actions in respect thereto) caused by, resulting from, arising out of or based upon (i) any untrue or alleged untrue statement of material fact contained in any Registration Statement, prospectus or preliminary prospectus or similar document incident to any registration, qualification, compliance or sale effected pursuant to this Section 4(w) or any amendment thereof or supplement thereto, or any omission or alleged omission of a material fact required to be stated therein or necessary to make the statements therein not misleading, or (ii) any violation or alleged violation by the Company of the Securities Act or any other similar federal or state securities laws, and will reimburse, as incurred, the Investor, its officers, managers, directors, trustees, equityholders, beneficiaries, affiliates, agents and representatives and each Person who controls such Investor (within the meaning of the Securities Act) for any legal and any other expenses reasonably incurred in connection with investigating or defending any such claim, loss, damage, liability or action. Notwithstanding the foregoing, the Company will not be liable in any such case to the extent that any such claim, damage, loss, liability or expense is caused by or arises out of or is based on any untrue statement or omission made in reliance and in conformity with written information furnished to the Company by or on behalf of the Investor expressly for use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    </w:t>
      </w:r>
      <w:r>
        <w:rPr>
          <w:rFonts w:ascii="Times New Roman" w:hAnsi="Times New Roman"/>
          <w:b/>
          <w:caps w:val="false"/>
          <w:smallCaps w:val="false"/>
          <w:sz w:val="20"/>
        </w:rPr>
        <w:t>Restrictive Legends</w:t>
      </w:r>
      <w:r>
        <w:rPr>
          <w:rFonts w:ascii="Times New Roman" w:hAnsi="Times New Roman"/>
          <w:caps w:val="false"/>
          <w:smallCaps w:val="false"/>
          <w:sz w:val="20"/>
        </w:rPr>
        <w:t>. The Company shall, upon an Investor’s request, cooperate with such Investor and deliver, or cause to be delivered, all customary and reasonably necessary documentation, including any legal opinion required to be delivered by counsel to the Company pursuant to the Irrevocable Transfer Agent Instructions, to cause the Transfer Agent to remove any restrictive legend from any Conversion Shares or New Penny Warrant Shares included in an effective Registration Statement or sold or eligible to be sold pursuant to Rule 144, in each case in accordance with Section 5(d). Any removal of restrictive legends, delivery of shares without restrictive legends-related timing requirements, transfer-agent or DTC fees and remedies for failure to timely deliver shall be covered by Section 5(d) and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(x)    </w:t>
      </w:r>
      <w:r>
        <w:rPr>
          <w:rFonts w:ascii="Times New Roman" w:hAnsi="Times New Roman"/>
          <w:b/>
          <w:caps w:val="false"/>
          <w:smallCaps w:val="false"/>
          <w:sz w:val="20"/>
        </w:rPr>
        <w:t>Investor Lock-Up</w:t>
      </w:r>
      <w:r>
        <w:rPr>
          <w:rFonts w:ascii="Times New Roman" w:hAnsi="Times New Roman"/>
          <w:caps w:val="false"/>
          <w:smallCaps w:val="false"/>
          <w:sz w:val="20"/>
        </w:rPr>
        <w:t>. Each Investor shall agree that from the Closing until the earlier of (A) seventy-five (75) days following the Closing Date and (B) thirty (30) days after the Registration Statement has been declared effective by the SEC or otherwise becomes effective, such Investor will not, without the prior written consent of the Company, (i) offer, sell, contract to sell, pledge, grant any option to purchase, lend or otherwise dispose of any Preferred Shares, Conversion Shares, options or warrants to purchase any Preferred Shares or Conversion Shares, or any securities convertible into, exchangeable for or that represent the right to receive any Preferred Shares or Conversion Shares, including any such shares or derivative instruments then owned or thereafter acquired by such Investor, (ii) engage in any hedging or other transaction or arrangement, including any short sale or the purchase or sale of, or entry into, any put or call option, forward, swap or other derivative transaction or instrument, that is designed to or reasonably could be expected to lead to or result in a sale, loan, pledge, other disposition or transfer of any of the economic consequences of ownership of any Preferred Shares or Conversion Shares, whether settled by delivery of securities, in cash or otherwise, or (iii) publicly announce any intention to engage in any of the foregoing. Transfers to affiliates shall be permitted only if the transferee agrees in writing to be bound by this Section 4(x).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    </w:t>
      </w:r>
      <w:r>
        <w:rPr>
          <w:rFonts w:ascii="Times New Roman" w:hAnsi="Times New Roman"/>
          <w:b/>
          <w:caps w:val="false"/>
          <w:smallCaps w:val="false"/>
          <w:sz w:val="20"/>
        </w:rPr>
        <w:t>Company Lock-Up</w:t>
      </w:r>
      <w:r>
        <w:rPr>
          <w:rFonts w:ascii="Times New Roman" w:hAnsi="Times New Roman"/>
          <w:caps w:val="false"/>
          <w:smallCaps w:val="false"/>
          <w:sz w:val="20"/>
        </w:rPr>
        <w:t>. From the date hereof until the earlier of (A) one hundred eighty (180) days following the Closing Date and (B) sixty (60) days after the Registration Statement has been declared effective by the SEC or otherwise becomes effective, neither the Company nor any Subsidiary shall, directly or indirectly, issue, offer, sell, grant any option or right to purchase, or otherwise dispose of, or agree to issue, offer, sell, grant any option or right to purchase, or otherwise dispose of, any shares of Common Stock or Common Stock Equivalents, or file any registration statement, or any amendment or supplement thereto, with respect to any shares of Common Stock or Common Stock Equivalents, other than (i) the Registration Statement required to be filed pursuant to Section 4(w), (ii) a registration statement on Form S-8 with respect to securities issued or issuable pursuant to any equity incentive plan, employee stock purchase plan or other compensatory arrangement approved by the Board, (iii) the issuance of the Preferred Shares and the New Penny Warrants pursuant to this Agreement, (iv) the issuance of Conversion Shares upon conversion of the Preferred Shares in accordance with the Certificate of Designation, (v) the issuance of New Penny Warrant Shares upon exercise of the New Penny Warrants in accordance with the terms thereof, (vi) the issuance of Excluded Securities or (vii) any issuance of securities approved in advance in writing by the Required Holders</w:t>
      </w:r>
      <w:r>
        <w:rPr>
          <w:rFonts w:ascii="Times New Roman" w:hAnsi="Times New Roman"/>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(z)    </w:t>
      </w:r>
      <w:r>
        <w:rPr>
          <w:rFonts w:ascii="Times New Roman" w:hAnsi="Times New Roman"/>
          <w:b/>
          <w:caps w:val="false"/>
          <w:smallCaps w:val="false"/>
          <w:sz w:val="20"/>
        </w:rPr>
        <w:t>Transferability</w:t>
      </w:r>
      <w:r>
        <w:rPr>
          <w:rFonts w:ascii="Times New Roman" w:hAnsi="Times New Roman"/>
          <w:caps w:val="false"/>
          <w:smallCaps w:val="false"/>
          <w:sz w:val="20"/>
        </w:rPr>
        <w:t>. The Convertible Preferred Stock may not be transferred without the Company’s consent, such consent not to be unreasonably withheld, conditioned or delayed, except for transfers to affiliates that agree in writing to be bound by the applicable restrictions in the Transaction Documents; provided that the Company shall be promptly notified of any such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(aa)    </w:t>
      </w:r>
      <w:r>
        <w:rPr>
          <w:rFonts w:ascii="Times New Roman" w:hAnsi="Times New Roman"/>
          <w:b/>
          <w:caps w:val="false"/>
          <w:smallCaps w:val="false"/>
          <w:sz w:val="20"/>
        </w:rPr>
        <w:t>Stockholder Approval; Reverse Stock Split</w:t>
      </w:r>
      <w:r>
        <w:rPr>
          <w:rFonts w:ascii="Times New Roman" w:hAnsi="Times New Roman"/>
          <w:caps w:val="false"/>
          <w:smallCaps w:val="false"/>
          <w:sz w:val="20"/>
        </w:rPr>
        <w:t>. The Company acknowledges and agrees that the Stockholder Approval and the Reverse Stock Split are conditions to the Closing and that, following the Closing, the Company shall not delay the filing, effectiveness or continued availability of any Registration Statement required to be filed pursuant to Section 4(w) on the basis that the Stockholder Approval, the Reverse Stock Split or any related corporate action, Principal Market approval, DTC process, Transfer Agent process or other ministerial or administrative action has not been obtained, completed or effected.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any Registration Statement filed pursuant to Section 4(w) does not cover all Registrable Securities required to be included therein as a result of the timing of the Stockholder Approval, the Reverse Stock Split or any related corporate, regulatory, Principal Market, DTC or Transfer Agent process, the Company shall, as promptly as practicable and in any event within twenty (20) Business Days after the Stockholder Approval Date, the effectiveness of the Reverse Stock Split or the completion of such related process, as applicable, file a post-effective amendment, prospectus supplement or Subsequent Shelf Registration Statement, as applicable, to register the resale of all Registrable Securities not previously covered by an effective Registration Statement. Any such post-effective amendment, prospectus supplement or Subsequent Shelf Registration Statement shall be deemed a Registration Statement for purposes of Section 4(w), including the filing, effectiveness, maintenance and liquidated damages provisions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(bb)    </w:t>
      </w:r>
      <w:r>
        <w:rPr>
          <w:rFonts w:ascii="Times New Roman" w:hAnsi="Times New Roman"/>
          <w:b/>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(cc)    </w:t>
      </w:r>
      <w:r>
        <w:rPr>
          <w:rFonts w:ascii="Times New Roman" w:hAnsi="Times New Roman"/>
          <w:b/>
          <w:caps w:val="false"/>
          <w:smallCaps w:val="false"/>
          <w:sz w:val="20"/>
        </w:rPr>
        <w:t>Board of Directors; Governance Rights</w:t>
      </w:r>
      <w:r>
        <w:rPr>
          <w:rFonts w:ascii="Times New Roman" w:hAnsi="Times New Roman"/>
          <w:caps w:val="false"/>
          <w:smallCaps w:val="false"/>
          <w:sz w:val="20"/>
        </w:rPr>
        <w:t>. By no later than the Closing, the Company shall take or have taken all corporate and other action reasonably necessary to reduce the size of the Board to seven (7) members and to cause the Board to be comprised of Stephen La Neve, Joseph E. Whitters, Chan W. Galbato, James M. Hindman, Steven F. Mayer, Mika Nishimura, and a new independent board member who may be elected after the Closing but in any event not later than 120 calendar days after the Closing. Following the Closing and for so long as any Preferred Shares remain outstanding, TCW shall have the right, but not the obligation, to (A) designate up to two (2) individuals to serve as directors on the Board (for avoidance of doubt, so long as TCW has the right to designate one (1) individual to serve as a director on the Board pursuant to that certain Governance Agreement, dated June 6, 2025, by and between the Company and TCW, as may be amended from time to time (the “</w:t>
      </w:r>
      <w:r>
        <w:rPr>
          <w:rFonts w:ascii="Times New Roman" w:hAnsi="Times New Roman"/>
          <w:b/>
          <w:caps w:val="false"/>
          <w:smallCaps w:val="false"/>
          <w:sz w:val="20"/>
        </w:rPr>
        <w:t>Governance Agreement</w:t>
      </w:r>
      <w:r>
        <w:rPr>
          <w:rFonts w:ascii="Times New Roman" w:hAnsi="Times New Roman"/>
          <w:caps w:val="false"/>
          <w:smallCaps w:val="false"/>
          <w:sz w:val="20"/>
        </w:rPr>
        <w:t>”), the right to designate two (2) individuals to serve as directors on the Board under this Section 4(cc) shall be inclusive of the one (1) individual that TCW has the right to designate under the Governance Agreement) and (B) appoint up to two (2) individuals to be appointed as non-voting observers to the Board (for avoidance of doubt, the right to designate two (2) individuals to serve as non-voting observers to the Board under this Section 4(cc) shall be inclusive of the two (2) individuals that TCW has the right to designate as non-voting observers to the Board under the Governance Agreement), by delivery of written notice to the Company. The initial director designees of TCW shall be Chan W. Galbato, and Steven F. Mayer (each, a “</w:t>
      </w:r>
      <w:r>
        <w:rPr>
          <w:rFonts w:ascii="Times New Roman" w:hAnsi="Times New Roman"/>
          <w:b/>
          <w:caps w:val="false"/>
          <w:smallCaps w:val="false"/>
          <w:sz w:val="20"/>
        </w:rPr>
        <w:t>Preferred Director</w:t>
      </w:r>
      <w:r>
        <w:rPr>
          <w:rFonts w:ascii="Times New Roman" w:hAnsi="Times New Roman"/>
          <w:caps w:val="false"/>
          <w:smallCaps w:val="false"/>
          <w:sz w:val="20"/>
        </w:rPr>
        <w:t>”). The Company shall nominate each Preferred Director, or any replacement thereof designated in accordance with this Section 4(cc), for re-election to the Board at each annual or special meeting of stockholders of the Company at which directors of the class or group of directors of which such Preferred Director is a member are to be elected. The Company shall use the same level of effort that it uses to cause the election of other members of the Board that are not Preferred Directors, but in any event no less than commercially reasonable efforts, to cause the election of each Preferred Director, including by (i) recommending that the Company’s stockholders vote in favor of the election of each Preferred Director, (ii) including each Preferred Director in the Company’s proxy statement and proxy card for such meeting, (iii) soliciting proxies in favor of the election of each Preferred Director to the same extent as the Company solicits proxies in favor of the election of its other nominees and (iv) otherwise supporting each Preferred Director for election in a manner no less rigorous and favorable than the manner in which the Company supports its other nominees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for so long as TCW is entitled to designate at least one Preferred Director, (i) each of the Audit Committee, the Compensation Committee and the Nominating and Corporate Governance Committee of the Board shall include at least one Preferred Director (subject to applicable independence requirements of the Principal Market and applicable law), and (ii) the Company shall not establish any executive committee, finance committee or other committee of the Board with material authority over any of the matters that require the approval of the holders of the Convertible Preferred Stock under the Certificate of Designation unless a Preferred Director is a member of such committee; provided that the Company may establish one or more special committees of independent directors with respect to any transaction that may reasonably be deemed to present a conflict of interest between the Company and TCW or the Preferred Directors. The Company shall enter into an indemnification agreement with each Preferred Director on terms no less favorable than those provided to any other director of the Company, and shall maintain customary directors’ and officers’ liability insurance with limits and on terms reasonably acceptable to TCW.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at any time a vacancy occurs on the Board with respect to the directorship of any Preferred Director (by reason of such director’s death, disability, resignation or removal), TCW shall have the right to designate a replacement Preferred Director for appointment to fill such vacancy. Each Preferred Director may resign from the Board at any time, and, subject to applicable law and the Certificate of Incorporation and Bylaws, TCW shall have the right at any time to remove (with or without cause) any Preferred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Nominating and Corporate Governance Committee of the Board determines in good faith that any Preferred Director designated by TCW (i) is not qualified to serve on the Board consistent with its duly adopted policies and procedures applicable to all directors or (ii) does not satisfy the applicable requirements of the national securities exchange on which the Common Stock is listed for trading regarding service as a director of the Company, the Company shall notify TCW of such determination and TCW shall withdraw its designation of such Preferred Director (or, if such Preferred Director has already been appointed, cause such director to resign), and TCW shall have the right to designate a different individual as a Preferred Director in accordance with this Section 4(cc).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(dd)    </w:t>
      </w:r>
      <w:r>
        <w:rPr>
          <w:rFonts w:ascii="Times New Roman" w:hAnsi="Times New Roman"/>
          <w:b/>
          <w:caps w:val="false"/>
          <w:smallCaps w:val="false"/>
          <w:sz w:val="20"/>
        </w:rPr>
        <w:t>Preemptive Rights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Right to Participate in Certain Sales of Additional Securities</w:t>
      </w:r>
      <w:r>
        <w:rPr>
          <w:rFonts w:ascii="Times New Roman" w:hAnsi="Times New Roman"/>
          <w:caps w:val="false"/>
          <w:smallCaps w:val="false"/>
          <w:sz w:val="20"/>
        </w:rPr>
        <w:t>. For so long as any Preferred Shares remain outstanding, the Company agrees that it shall not, and shall cause its Subsidiaries not to, sell or issue any shares of Common Stock, Preferred Stock or other equity securities of the Company or any Subsidiary, or any Common Stock Equivalents or other securities, rights, options, warrants or similar instruments convertible into, exercisable or exchangeable for, or otherwise entitling the holder thereof to acquire, any such equity securities, unless the Company first delivers to the Investors a written notice (a “</w:t>
      </w:r>
      <w:r>
        <w:rPr>
          <w:rFonts w:ascii="Times New Roman" w:hAnsi="Times New Roman"/>
          <w:b/>
          <w:caps w:val="false"/>
          <w:smallCaps w:val="false"/>
          <w:sz w:val="20"/>
        </w:rPr>
        <w:t>Preemptive Right Notice</w:t>
      </w:r>
      <w:r>
        <w:rPr>
          <w:rFonts w:ascii="Times New Roman" w:hAnsi="Times New Roman"/>
          <w:caps w:val="false"/>
          <w:smallCaps w:val="false"/>
          <w:sz w:val="20"/>
        </w:rPr>
        <w:t>”), which Preemptive Right Notice shall be subject to Section 4(i)(ii), setting forth in reasonable detail (A) the designation and all of the terms and provisions of the securities proposed to be issued (the “</w:t>
      </w:r>
      <w:r>
        <w:rPr>
          <w:rFonts w:ascii="Times New Roman" w:hAnsi="Times New Roman"/>
          <w:b/>
          <w:caps w:val="false"/>
          <w:smallCaps w:val="false"/>
          <w:sz w:val="20"/>
        </w:rPr>
        <w:t>Proposed Securities</w:t>
      </w:r>
      <w:r>
        <w:rPr>
          <w:rFonts w:ascii="Times New Roman" w:hAnsi="Times New Roman"/>
          <w:caps w:val="false"/>
          <w:smallCaps w:val="false"/>
          <w:sz w:val="20"/>
        </w:rPr>
        <w:t>”), including, to the extent applicable, the voting powers, preferences and relative, participating, optional or other special rights, and the qualifications, limitations or restrictions thereof, (B) the price, timing and other terms of the proposed sale of such Proposed Securities and (C) the amount of such Proposed Securities proposed to be issued; provided that, following the delivery of such notice, the Company shall deliver to the Investors such additional information as the Investors may reasonably request in order to evaluate the proposed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b/>
          <w:caps w:val="false"/>
          <w:smallCaps w:val="false"/>
          <w:sz w:val="20"/>
        </w:rPr>
        <w:t>Participation Right</w:t>
      </w:r>
      <w:r>
        <w:rPr>
          <w:rFonts w:ascii="Times New Roman" w:hAnsi="Times New Roman"/>
          <w:caps w:val="false"/>
          <w:smallCaps w:val="false"/>
          <w:sz w:val="20"/>
        </w:rPr>
        <w:t>. To the extent each Investor is eligible under applicable securities laws, the Company shall offer to issue and sell to each Investor, on the same terms as the Proposed Securities are issued and upon full payment by such Investor, up to such Investor’s pro rata portion of the Proposed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b/>
          <w:caps w:val="false"/>
          <w:smallCaps w:val="false"/>
          <w:sz w:val="20"/>
        </w:rPr>
        <w:t>Exercise Period</w:t>
      </w:r>
      <w:r>
        <w:rPr>
          <w:rFonts w:ascii="Times New Roman" w:hAnsi="Times New Roman"/>
          <w:caps w:val="false"/>
          <w:smallCaps w:val="false"/>
          <w:sz w:val="20"/>
        </w:rPr>
        <w:t>. Each Investor shall have the option, exercisable by written notice delivered to the Company, to accept the Company’s offer and commit to purchase any or all of the Proposed Securities offered to be sold by the Company to such Investor, which notice must be given prior to the later of (A) five (5) Business Days after receipt of the Preemptive Right Notice from the Company and (B) two (2) Business Days prior to the proposed issuance date set forth in the Preemptive Right Notice (the “</w:t>
      </w:r>
      <w:r>
        <w:rPr>
          <w:rFonts w:ascii="Times New Roman" w:hAnsi="Times New Roman"/>
          <w:b/>
          <w:caps w:val="false"/>
          <w:smallCaps w:val="false"/>
          <w:sz w:val="20"/>
        </w:rPr>
        <w:t>Preemptive Right Lapse Time</w:t>
      </w:r>
      <w:r>
        <w:rPr>
          <w:rFonts w:ascii="Times New Roman" w:hAnsi="Times New Roman"/>
          <w:caps w:val="false"/>
          <w:smallCaps w:val="false"/>
          <w:sz w:val="20"/>
        </w:rPr>
        <w:t>”). If the Company offers two (2) or more securities as a unit to all other participants in the offering, the Investors shall be given the same choice as provided to such other participants in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b/>
          <w:caps w:val="false"/>
          <w:smallCaps w:val="false"/>
          <w:sz w:val="20"/>
        </w:rPr>
        <w:t>Closing</w:t>
      </w:r>
      <w:r>
        <w:rPr>
          <w:rFonts w:ascii="Times New Roman" w:hAnsi="Times New Roman"/>
          <w:caps w:val="false"/>
          <w:smallCaps w:val="false"/>
          <w:sz w:val="20"/>
        </w:rPr>
        <w:t>. The closing of the exercise of such subscription right shall take place simultaneously with the closing of the sale of the Proposed Securities giving rise to such subscription right; provided, however, that the closing of any purchase by any Investor may be extended beyond the closing of the sale of the Proposed Securities giving rise to such preemptive right to the extent necessary to obtain required approvals from any Governmental Entity or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b/>
          <w:caps w:val="false"/>
          <w:smallCaps w:val="false"/>
          <w:sz w:val="20"/>
        </w:rPr>
        <w:t>Sale of Unsubscribed Securities</w:t>
      </w:r>
      <w:r>
        <w:rPr>
          <w:rFonts w:ascii="Times New Roman" w:hAnsi="Times New Roman"/>
          <w:caps w:val="false"/>
          <w:smallCaps w:val="false"/>
          <w:sz w:val="20"/>
        </w:rPr>
        <w:t>. Upon the expiration of the offering period described above, the Company shall be free to sell such Proposed Securities that the Investors have not elected to purchase during the sixty (60)-day period following such expiration on terms and conditions no more favorable to the purchasers thereof than those offered to the Investors in the Preemptive Right Notice delivered in accordance with this Section 4(dd). Any Proposed Securities offered or sold by the Company after such sixty (60)-day period must be reoffered to the Investors pursuant to this Section 4(dd).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b/>
          <w:caps w:val="false"/>
          <w:smallCaps w:val="false"/>
          <w:sz w:val="20"/>
        </w:rPr>
        <w:t>No Waiver</w:t>
      </w:r>
      <w:r>
        <w:rPr>
          <w:rFonts w:ascii="Times New Roman" w:hAnsi="Times New Roman"/>
          <w:caps w:val="false"/>
          <w:smallCaps w:val="false"/>
          <w:sz w:val="20"/>
        </w:rPr>
        <w:t>. The election by any Investor not to exercise its preemptive rights under this Section 4(dd) in any one instance shall not affect its right as to any subsequent proposed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w:t>
      </w:r>
      <w:r>
        <w:rPr>
          <w:rFonts w:ascii="Times New Roman" w:hAnsi="Times New Roman"/>
          <w:b/>
          <w:caps w:val="false"/>
          <w:smallCaps w:val="false"/>
          <w:sz w:val="20"/>
        </w:rPr>
        <w:t>Non-Cash Consideration</w:t>
      </w:r>
      <w:r>
        <w:rPr>
          <w:rFonts w:ascii="Times New Roman" w:hAnsi="Times New Roman"/>
          <w:caps w:val="false"/>
          <w:smallCaps w:val="false"/>
          <w:sz w:val="20"/>
        </w:rPr>
        <w:t>. In the case of an issuance subject to this Section 4(dd) for consideration in whole or in part other than cash, including securities acquired in exchange therefor, the consideration other than cash shall be deemed to be the fair market value thereof, as determined in good faith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(viii)    </w:t>
      </w:r>
      <w:r>
        <w:rPr>
          <w:rFonts w:ascii="Times New Roman" w:hAnsi="Times New Roman"/>
          <w:b/>
          <w:caps w:val="false"/>
          <w:smallCaps w:val="false"/>
          <w:sz w:val="20"/>
        </w:rPr>
        <w:t>Stockholder Approval Limitation</w:t>
      </w:r>
      <w:r>
        <w:rPr>
          <w:rFonts w:ascii="Times New Roman" w:hAnsi="Times New Roman"/>
          <w:caps w:val="false"/>
          <w:smallCaps w:val="false"/>
          <w:sz w:val="20"/>
        </w:rPr>
        <w:t>. Notwithstanding anything to the contrary in this Section 4(dd), the Company shall not be required to offer to issue or sell to any Investor the portion of the Proposed Securities that would require the Company to obtain Stockholder Approval in respect of the issuance of such Proposed Securities to such Investor under the rules and regulations of the Principal Market unless such Stockholder Approval has been obtained; provided, however, that the Company shall still be obligated to provide the Preemptive Right Notice to the Investors, which notice shall include a description of the Proposed Securities, including the number thereof, that would require Stockholder Approval in respect of the issuance thereof. In such event, upon the reasonable request of the Required Holders delivered to the Company in writing at or before the Preemptive Right Lapse Time, the Company shall consider and discuss in good faith modifications proposed by the Required Holders to the terms and conditions of such portion of the Proposed Securities that would otherwise be issued to the Investors such that the Company would not be required to obtain Stockholder Approval in respect of the issuance of such Proposed Securities as so modified.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(ix)    </w:t>
      </w:r>
      <w:r>
        <w:rPr>
          <w:rFonts w:ascii="Times New Roman" w:hAnsi="Times New Roman"/>
          <w:b/>
          <w:caps w:val="false"/>
          <w:smallCaps w:val="false"/>
          <w:sz w:val="20"/>
        </w:rPr>
        <w:t>Excluded Securities</w:t>
      </w:r>
      <w:r>
        <w:rPr>
          <w:rFonts w:ascii="Times New Roman" w:hAnsi="Times New Roman"/>
          <w:caps w:val="false"/>
          <w:smallCaps w:val="false"/>
          <w:sz w:val="20"/>
        </w:rPr>
        <w:t>. Notwithstanding the foregoing, the rights granted to the Investors under this Section 4(dd) shall be inapplicable with respect to the issuance of Excluded Securities. For purposes of this Section 4(dd), “</w:t>
      </w:r>
      <w:r>
        <w:rPr>
          <w:rFonts w:ascii="Times New Roman" w:hAnsi="Times New Roman"/>
          <w:b/>
          <w:caps w:val="false"/>
          <w:smallCaps w:val="false"/>
          <w:sz w:val="20"/>
        </w:rPr>
        <w:t>Excluded Securities</w:t>
      </w:r>
      <w:r>
        <w:rPr>
          <w:rFonts w:ascii="Times New Roman" w:hAnsi="Times New Roman"/>
          <w:caps w:val="false"/>
          <w:smallCaps w:val="false"/>
          <w:sz w:val="20"/>
        </w:rPr>
        <w:t>” means securities issued or issuable: (A) upon conversion, exercise or exchange of the Preferred Shares, the New Penny Warrants or any other securities issued pursuant to this Agreement or the other Transaction Documents; (B) by reason of a dividend, stock split, split-up, recapitalization, reclassification or other similar transaction with respect to the Common Stock; (C) to employees, officers, directors, consultants or advisors of the Company or any Subsidiary pursuant to any equity incentive plan, employee stock purchase plan or other compensatory plan, agreement or arrangement approved by the Board; (D) upon the exercise, conversion or exchange of options, warrants or convertible securities outstanding as of the Closing Date and disclosed in the SEC Documents or to the Investors, in each case, in accordance with the terms thereof as in effect on the Closing Date; or (E) as otherwise agreed by the Company and the Required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(ee)    </w:t>
      </w:r>
      <w:r>
        <w:rPr>
          <w:rFonts w:ascii="Times New Roman" w:hAnsi="Times New Roman"/>
          <w:b/>
          <w:caps w:val="false"/>
          <w:smallCaps w:val="false"/>
          <w:sz w:val="20"/>
        </w:rPr>
        <w:t>Tax Matters</w:t>
      </w:r>
      <w:r>
        <w:rPr>
          <w:rFonts w:ascii="Times New Roman" w:hAnsi="Times New Roman"/>
          <w:caps w:val="false"/>
          <w:smallCaps w:val="false"/>
          <w:sz w:val="20"/>
        </w:rPr>
        <w:t>. The parties intend that (i) the issuance of the Convertible Preferred Stock and New Penny Warrants in exchange for the Converted Debt qualify as a tax-free recapitalization under Section 368(a)(1)(E) of the Code, and (ii) the New Penny Warrants and the Convertible Preferred Stock be treated as “common stock” for purposes of Sections 304, 305, 306, 354, 368, 1036 and 1202 of the Code. The parties shall cooperate to so qualify the exchange and to so treat the New Penny Warrants and Convertible Preferred Stock and with respect to the allocation of value among the New Penny Warrants on one hand and the Convertible Preferred Stock on the other hand (provided that if the parties are unable to agree thereon, each party can use its own allocation methodology). The Company shall use reasonable best efforts not to cause the holders of any of the New Penny Warrants or the Convertible Preferred Stock (or Common Stock) to be subject to the phantom income rules of Section 305 of the Code (including by reason of Section 305(b)(2) of the Code) and the fair market value of the Preferred Shares and the New Penny Warrants is no less than the $55,000,000 and is not expected to result in any cancellation of debt income pursuant to Section 108(e)(8) of the Code. The parties shall also cooperate with respect to the treatment of Accruing Dividends as not currently taxable for U.S. federal income (and applicable state, local and non-U.S.) Tax purposes, including any reporting obligations under Section 305 of the Code (if any), and the Company shall bear economic responsibility for any withholding Tax obligations imposed on the Investors in respect of Accruing Dividends (as defined in the Certificate of Designation); provided, however, that the Company shall not be required to bear economic responsibility for any such withholding Tax obligations to the extent such withholding Tax obligations result from (A) an Investor’s failure to provide, upon the Company’s reasonable request, a properly completed and duly executed Internal Revenue Service Form W-9, W-8BEN, W-8BEN-E, W-8ECI, W-8EXP, W-8IMY or other applicable Tax form, certification or documentation required to establish an exemption from, or reduction in, applicable withholding Tax or to permit the Company to determine the withholding or deduction required to be made, (B) an Investor’s failure to update or replace any such form, certification or documentation upon the expiration, obsolescence or inaccuracy thereof after reasonable request by the Company, or (C) an Investor’s transfer of Convertible Preferred Stock or New Penny Warrants to a transferee that fails to provide such applicable Tax form, certification or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caps w:val="false"/>
          <w:smallCaps w:val="false"/>
          <w:sz w:val="20"/>
        </w:rPr>
        <w:t>REGISTER; TRANSFER AGENT INSTRUCTIONS;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Register</w:t>
      </w:r>
      <w:r>
        <w:rPr>
          <w:rFonts w:ascii="Times New Roman" w:hAnsi="Times New Roman"/>
          <w:caps w:val="false"/>
          <w:smallCaps w:val="false"/>
          <w:sz w:val="20"/>
        </w:rPr>
        <w:t>. The Company shall maintain at its principal executive offices (or such other office or agency of the Company as it may designate by notice to each holder of Securities), a register for the Preferred Shares and the New Penny Warrants in which the Company shall record the name and address of the Person in whose name the Preferred Shares and the New Penny Warrants have been issued (including the name and address of each transferee), the aggregate number of Preferred Shares held by such Person, the number of Conversion Shares issuable pursuant to the terms of the Certificate of Designation and the number of New Penny Warrant Shares issuable upon exercise of the New Penny Warrants held by such Person. The Company shall keep the register open and available at all times during business hours for inspection of any Investor or its legal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Transfer Agent Instructions</w:t>
      </w:r>
      <w:r>
        <w:rPr>
          <w:rFonts w:ascii="Times New Roman" w:hAnsi="Times New Roman"/>
          <w:caps w:val="false"/>
          <w:smallCaps w:val="false"/>
          <w:sz w:val="20"/>
        </w:rPr>
        <w:t>. The Company shall issue irrevocable instructions to the Transfer Agent in a form acceptable to each of the Investors (the “</w:t>
      </w:r>
      <w:r>
        <w:rPr>
          <w:rFonts w:ascii="Times New Roman" w:hAnsi="Times New Roman"/>
          <w:b/>
          <w:caps w:val="false"/>
          <w:smallCaps w:val="false"/>
          <w:sz w:val="20"/>
        </w:rPr>
        <w:t>Irrevocable Transfer Agent Instructions</w:t>
      </w:r>
      <w:r>
        <w:rPr>
          <w:rFonts w:ascii="Times New Roman" w:hAnsi="Times New Roman"/>
          <w:caps w:val="false"/>
          <w:smallCaps w:val="false"/>
          <w:sz w:val="20"/>
        </w:rPr>
        <w:t>”) to issue certificates or book entry statements or credit shares to the applicable balance accounts at DTC, registered in the name of each Investor or its respective nominee(s), for the Conversion Shares and the New Penny Warrant Shares in such amounts as specified from time to time by each Investor to the Company upon conversion of the Preferred Shares or the exercise of the New Penny Warrants (as the case may be). The Company represents and warrants that no instruction other than the Irrevocable Transfer Agent Instructions referred to in this Section 5(b), and stop transfer instructions to give effect to Section 2(g) hereof, will be given by the Company to the Transfer Agent with respect to the Securities, and that the Securities shall otherwise be freely transferable on the books and records of the Company, as applicable, to the extent provided in this Agreement and the other Transaction Documents. If an Investor effects a sale, assignment or transfer of the Securities in accordance with Section 2(g), the Company shall permit the transfer and shall promptly instruct the Transfer Agent to issue one or more certificates or book entry statements or credit shares to the applicable balance accounts at DTC in such name and in such denominations as specified by such Investor to effect such sale, transfer or assignment. In the event that such sale, assignment or transfer involves Conversion Shares or New Penny Warrant Shares sold, assigned or transferred pursuant to an effective registration statement or in compliance with Rule 144, the Transfer Agent shall issue such shares to such Investor, assignee or transferee (as the case may be) without any restrictive legend in accordance with Section 5(d) below. The Company acknowledges that a breach by it of its obligations hereunder will cause irreparable harm to an Investor. Accordingly, the Company acknowledges that the remedy at law for a breach of its obligations under this Section 5(b) will be inadequate and agrees, in the event of a breach or threatened breach by the Company of the provisions of this Section 5(b), that an Investor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Transfer Agent Instructions to the Transfer Agent on the date that the applicable Registration Statement has been declared effective by the SEC. Any fees (with respect to the Transfer Agent, counsel to the Company or otherwise) associated with the issuance of such opinion or the removal of any legends on any of the Securities shall be borne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 xml:space="preserve">Transfer Restrictions; </w:t>
      </w:r>
      <w:r>
        <w:rPr>
          <w:rFonts w:ascii="Times New Roman" w:hAnsi="Times New Roman"/>
          <w:caps w:val="false"/>
          <w:smallCaps w:val="false"/>
          <w:sz w:val="20"/>
        </w:rPr>
        <w:t> </w:t>
      </w:r>
      <w:r>
        <w:rPr>
          <w:rFonts w:ascii="Times New Roman" w:hAnsi="Times New Roman"/>
          <w:b/>
          <w:caps w:val="false"/>
          <w:smallCaps w:val="false"/>
          <w:sz w:val="20"/>
        </w:rPr>
        <w:t>Legends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Transfer Restrictions</w:t>
      </w:r>
      <w:r>
        <w:rPr>
          <w:rFonts w:ascii="Times New Roman" w:hAnsi="Times New Roman"/>
          <w:caps w:val="false"/>
          <w:smallCaps w:val="false"/>
          <w:sz w:val="20"/>
        </w:rPr>
        <w:t>. The Securities may only be sold, assigned, pledged, transferred or otherwise disposed of in compliance with state and federal securities laws, this Agreement and the other Transaction Documents. In connection with any transfer of Securities other than (A) pursuant to an effective Registration Statement, (B) pursuant to Rule 144, (C) to the Company, (D) to an affiliate of an Investor which is controlled by such Investor, or (E) in connection with a pledge as contemplated in Section 5(c)(ii),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any transfer of Preferred Shares or New Penny Warrants, other than pursuant to an effective Registration Statement or Rule 144, such transferee shall agree in writing to be bound by the applicable terms of this Agreement and the other Transaction Documents and shall have the applicable rights and obligations of an Investor under this Agreement and the other Transaction Documents. For the avoidance of doubt and notwithstanding anything to the contrary herein, no transferee of Conversion Shares or New Penny Warrant Shares sold pursuant to an effective Registration Statement, Rule 144 or another available exemption from registration under the Securities Act shall be required to become bound by this Agreement or any other Transaction Document solely as a result of such transfer. Each Investor hereby covenants and agrees not to effect any sale or other transfer of the Securities other than (i) pursuant to the plan of distribution contained in a Registration Statement, (ii) in accordance with the provisions of Rule 144, or (iii) in compliance with another exemption from registration under the Securities Act and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b/>
          <w:caps w:val="false"/>
          <w:smallCaps w:val="false"/>
          <w:sz w:val="20"/>
        </w:rPr>
        <w:t>Pledges</w:t>
      </w:r>
      <w:r>
        <w:rPr>
          <w:rFonts w:ascii="Times New Roman" w:hAnsi="Times New Roman"/>
          <w:caps w:val="false"/>
          <w:smallCaps w:val="false"/>
          <w:sz w:val="20"/>
        </w:rPr>
        <w:t>. The Company acknowledges and agrees that an Investor may from time to time pledge, pursuant to a bona fide margin agreement with a registered broker-dealer, or grant a security interest in, some or all of the Securities to a financial institution that is an “accredited investor” as defined in Rule 501(a) under the Securities Act, or otherwise pledge Securities in connection with a bona fide loan or financing arrangement secured by such Securities, and, if required under the terms of such arrangement, such Investor may transfer pledged or secured Securities to the pledgees or secured parties. Such pledge or transfer shall not be subject to the approval of the Company, and no legal opinion of counsel to the pledgee, secured party or pledgor shall be required in connection therewith. Further, no notice to the Company shall be required in connection with any such pledge.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 the applicable Investor’s expense, the Company shall execute and deliver such reasonable documentation as a pledgee or secured party of Securities may reasonably request in connection with any such pledge or transfer of the Securities, including, if the Securities are subject to registration pursuant to Section 4(w), the preparation and filing of any required prospectus supplement under Rule 424(b)(3) under the Securities Act or other applicable provision of the Securities Act to appropriately amend the list of selling stockholders thereunder; provided that the Company shall not be required to file more than one such prospectus supplement in any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b/>
          <w:caps w:val="false"/>
          <w:smallCaps w:val="false"/>
          <w:sz w:val="20"/>
        </w:rPr>
        <w:t>Legends</w:t>
      </w:r>
      <w:r>
        <w:rPr>
          <w:rFonts w:ascii="Times New Roman" w:hAnsi="Times New Roman"/>
          <w:caps w:val="false"/>
          <w:smallCaps w:val="false"/>
          <w:sz w:val="20"/>
        </w:rPr>
        <w:t>. Each Investor understands that the Securities have been issued (or will be issued in the case of the Conversion Shares and the New Penny Warrant Shares) pursuant to an exemption from registration or qualification under the Securities Act and applicable state securities laws, and except as set forth below, the Securities shall bear any legend as required by the “blue sky” laws of any state and a restrictive legend in substantially the following form (and a stop-transfer order may be placed against transfer of such stock certificates or book entry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[NEITHER THE ISSUANCE AND SALE OF THE SECURITIES REPRESENTED BY THIS CERTIFICATE NOR THE SECURITIES INTO WHICH THESE SECURITIES ARE [CONVERTIBLE] [EXERCISABLE] HAVE BEEN][THE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b/>
          <w:caps w:val="false"/>
          <w:smallCaps w:val="false"/>
          <w:sz w:val="20"/>
        </w:rPr>
        <w:t>Resales</w:t>
      </w:r>
      <w:r>
        <w:rPr>
          <w:rFonts w:ascii="Times New Roman" w:hAnsi="Times New Roman"/>
          <w:caps w:val="false"/>
          <w:smallCaps w:val="false"/>
          <w:sz w:val="20"/>
        </w:rPr>
        <w:t>. Each Investor, severally and not jointly with the other Investors, agrees with the Company that such Investor will sell any Securities pursuant to either the registration requirements of the Securities Act, including any applicable prospectus delivery requirements, or an exemption therefrom, and that if Securities are sold pursuant to a Registration Statement, such Securities will be sold in compliance with the plan of distribution set forth therein. Each Investor acknowledges that the removal of the restrictive legend from certificates or book entries representing Securities as set forth in Section 5(d) is predicated upon the Company’s reliance upon this understanding.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Removal of Legends</w:t>
      </w:r>
      <w:r>
        <w:rPr>
          <w:rFonts w:ascii="Times New Roman" w:hAnsi="Times New Roman"/>
          <w:caps w:val="false"/>
          <w:smallCaps w:val="false"/>
          <w:sz w:val="20"/>
        </w:rPr>
        <w:t>. Certificates or book entries evidencing Securities shall not be required to contain the legend set forth in Section 5(c) above or any other legend (i) while a registration statement (including a Registration Statement) covering the resale of such Securities is effective under the Securities Act, (ii) following any sale of such Securities pursuant to Rule 144 (assuming the transferor is not an affiliate of the Company), (iii) if such Securities are eligible to be sold, assigned or transferred under Rule 144 (provided that an Investor provides the Company with reasonable assurances that such Securities are eligible for sale, assignment or transfer under Rule 144 which shall not include an opinion of Investor’s counsel), (iv) in connection with a sale, assignment or other transfer (other than under Rule 144), provided that such Investor provides the Company with an opinion of counsel to such Investor, in a generally acceptable form, to the effect that such sale, assignment or transfer of the Securities may be made without registration under the applicable requirements of the Securities Act or (v) if such legend is not required under applicable requirements of the Securities Act (including, without limitation, controlling judicial interpretations and pronouncements issued by the SEC). If a legend is not required pursuant to the foregoing, the Company shall no later than one (1) Business Day (or such earlier date as required pursuant to the Exchange Act or other applicable law, rule or regulation for the settlement of a trade initiated on the date such Investor delivers such legended certificate representing such Securities to the Company) following the delivery by an Investor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such Investor as may be required above in this Section 5(d), as directed by such Investor, either: (A) provided that the Transfer Agent is participating in the DTC Fast Automated Securities Transfer Program (“</w:t>
      </w:r>
      <w:r>
        <w:rPr>
          <w:rFonts w:ascii="Times New Roman" w:hAnsi="Times New Roman"/>
          <w:b/>
          <w:caps w:val="false"/>
          <w:smallCaps w:val="false"/>
          <w:sz w:val="20"/>
        </w:rPr>
        <w:t>FAST</w:t>
      </w:r>
      <w:r>
        <w:rPr>
          <w:rFonts w:ascii="Times New Roman" w:hAnsi="Times New Roman"/>
          <w:caps w:val="false"/>
          <w:smallCaps w:val="false"/>
          <w:sz w:val="20"/>
        </w:rPr>
        <w:t>”) and such Securities are Conversion Shares or New Penny Warrant Shares, credit the aggregate number of shares of Common Stock to which such Investor shall be entitled to such Investor’s or its designee’s balance account with DTC through its Deposit/Withdrawal at Custodian system or (B) if the Transfer Agent is not participating in FAST, issue and deliver (via reputable overnight courier) to such Investor, a certificate or book entry statement representing such Securities that is free from all restrictive and other legends, registered in the name of such Investor or its designee (the date by which such credit is so required to be made to the balance account of such Investor’s or such Investor’s designee with DTC or such certificate or book entry statement is required to be delivered to such Investor pursuant to the foregoing is referred to herein as the “</w:t>
      </w:r>
      <w:r>
        <w:rPr>
          <w:rFonts w:ascii="Times New Roman" w:hAnsi="Times New Roman"/>
          <w:b/>
          <w:caps w:val="false"/>
          <w:smallCaps w:val="false"/>
          <w:sz w:val="20"/>
        </w:rPr>
        <w:t>Required Delivery Date</w:t>
      </w:r>
      <w:r>
        <w:rPr>
          <w:rFonts w:ascii="Times New Roman" w:hAnsi="Times New Roman"/>
          <w:caps w:val="false"/>
          <w:smallCaps w:val="false"/>
          <w:sz w:val="20"/>
        </w:rPr>
        <w:t>”, and the date such shares of Common Stock are actually delivered without restrictive legend to such Investor or such Investor’s designee with DTC, as applicable, the “</w:t>
      </w:r>
      <w:r>
        <w:rPr>
          <w:rFonts w:ascii="Times New Roman" w:hAnsi="Times New Roman"/>
          <w:b/>
          <w:caps w:val="false"/>
          <w:smallCaps w:val="false"/>
          <w:sz w:val="20"/>
        </w:rPr>
        <w:t>Share Delivery Date</w:t>
      </w:r>
      <w:r>
        <w:rPr>
          <w:rFonts w:ascii="Times New Roman" w:hAnsi="Times New Roman"/>
          <w:caps w:val="false"/>
          <w:smallCaps w:val="false"/>
          <w:sz w:val="20"/>
        </w:rPr>
        <w:t>”). The Company shall be responsible for any Transfer Agent fees or DTC fees with respect to any issuance of Securities or the removal of any legends with respect to any Securities in accordance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Failure to Timely Deliver; Buy-In</w:t>
      </w:r>
      <w:r>
        <w:rPr>
          <w:rFonts w:ascii="Times New Roman" w:hAnsi="Times New Roman"/>
          <w:caps w:val="false"/>
          <w:smallCaps w:val="false"/>
          <w:sz w:val="20"/>
        </w:rPr>
        <w:t>. If the Company fails, for any reason or for no reason, to issue and deliver (or cause to be delivered) to an Investor (or its designee) by the Required Delivery Date, either (I) if the Transfer Agent is not participating in FAST, a certificate or book entry statement for the number of Conversion Shares or New Penny Warrant Shares (as the case may be) to which such Investor is entitled and register such Conversion Shares or New Penny Warrant Shares (as the case may be) on the Company’s share register or, if the Transfer Agent is participating in FAST, to credit the balance account of such Investor or such Investor’s designee with DTC for such number of Conversion Shares or New Penny Warrant Shares (as the case may be) submitted for legend removal by such Investor pursuant to Section 5(d) above or (II) if the Registration Statement covering the resale of the Conversion Shares or New Penny Warrant Shares (as the case may be) submitted for legend removal by such Investor pursuant to Section 5(d) above (the “</w:t>
      </w:r>
      <w:r>
        <w:rPr>
          <w:rFonts w:ascii="Times New Roman" w:hAnsi="Times New Roman"/>
          <w:b/>
          <w:caps w:val="false"/>
          <w:smallCaps w:val="false"/>
          <w:sz w:val="20"/>
        </w:rPr>
        <w:t>Unavailable Shares</w:t>
      </w:r>
      <w:r>
        <w:rPr>
          <w:rFonts w:ascii="Times New Roman" w:hAnsi="Times New Roman"/>
          <w:caps w:val="false"/>
          <w:smallCaps w:val="false"/>
          <w:sz w:val="20"/>
        </w:rPr>
        <w:t>”) is not available for the resale of such Unavailable Shares and the Company fails to promptly, but in no event later than as required pursuant to Section 4(w) (x) so notify such Investor and (y) deliver the Conversion Shares or New Penny Warrant Shares, as applicable, electronically without any restrictive legend by crediting such aggregate number of Conversion Shares or New Penny Warrant Shares (as the case may be) submitted for legend removal by such Investor pursuant to Section 5(d) above to such Investor’s or its designee’s balance account with DTC through its Deposit/Withdrawal At Custodian system (the event described in the immediately foregoing clause (II) is hereinafter referred to as a “</w:t>
      </w:r>
      <w:r>
        <w:rPr>
          <w:rFonts w:ascii="Times New Roman" w:hAnsi="Times New Roman"/>
          <w:b/>
          <w:caps w:val="false"/>
          <w:smallCaps w:val="false"/>
          <w:sz w:val="20"/>
        </w:rPr>
        <w:t>Notice Failure</w:t>
      </w:r>
      <w:r>
        <w:rPr>
          <w:rFonts w:ascii="Times New Roman" w:hAnsi="Times New Roman"/>
          <w:caps w:val="false"/>
          <w:smallCaps w:val="false"/>
          <w:sz w:val="20"/>
        </w:rPr>
        <w:t>” and together with the event described in clause (I) above, a “</w:t>
      </w:r>
      <w:r>
        <w:rPr>
          <w:rFonts w:ascii="Times New Roman" w:hAnsi="Times New Roman"/>
          <w:b/>
          <w:caps w:val="false"/>
          <w:smallCaps w:val="false"/>
          <w:sz w:val="20"/>
        </w:rPr>
        <w:t>Delivery Failure</w:t>
      </w:r>
      <w:r>
        <w:rPr>
          <w:rFonts w:ascii="Times New Roman" w:hAnsi="Times New Roman"/>
          <w:caps w:val="false"/>
          <w:smallCaps w:val="false"/>
          <w:sz w:val="20"/>
        </w:rPr>
        <w:t>”), then, in addition to all other remedies available to such Investor, the Company shall pay in cash to such Investor on each day after the Share Delivery Date and during such Delivery Failure an amount equal to 2% of the product of (A) the sum of the number of shares of Common Stock not issued to such Investor on or prior to the Required Delivery Date and to which such Investor is entitled, and (B) any actual and reasonable trading price of the Common Stock selected by such Investor in writing as in effect at any time during the period beginning on the date of the delivery by such Investor to the Company of the applicable Conversion Shares or New Penny Warrant Shares (as the case may be) and ending on the applicable Share Delivery Date. In addition to the foregoing, if on or prior to the Required Delivery Date either (I) if the Transfer Agent is not participating in FAST, the Company shall fail to issue and deliver a certificate or book entry statement to an Investor and register such shares of Common Stock on the Company’s share register or, if the Transfer Agent is participating in FAST, credit the balance account of such Investor or such Investor’s designee with DTC for the number of shares of Common Stock to which such Investor submitted for legend removal by such Investor pursuant to Section 5(d) above or (II) a Notice Failure occurs, and if on or after such Business Day such Investor acquires (in an open market transaction, stock loan or otherwise) shares of Common Stock to deliver in satisfaction of a sale by such Investor of shares of Common Stock submitted for legend removal by such Investor pursuant to Section 5(d) above that such Investor is entitled to receive from the Company (a “</w:t>
      </w:r>
      <w:r>
        <w:rPr>
          <w:rFonts w:ascii="Times New Roman" w:hAnsi="Times New Roman"/>
          <w:b/>
          <w:caps w:val="false"/>
          <w:smallCaps w:val="false"/>
          <w:sz w:val="20"/>
        </w:rPr>
        <w:t>Buy-In</w:t>
      </w:r>
      <w:r>
        <w:rPr>
          <w:rFonts w:ascii="Times New Roman" w:hAnsi="Times New Roman"/>
          <w:caps w:val="false"/>
          <w:smallCaps w:val="false"/>
          <w:sz w:val="20"/>
        </w:rPr>
        <w:t>”), then the Company shall, within one Business Day after such Investor’s request and in such Investor’s discretion, either (i) pay cash to such Investor in an amount equal to such Investor’s total purchase price (including brokerage commissions, stock loan costs, and other out-of-pocket expenses, if any, for the shares of Common Stock so acquired) (including, without limitation, by any other Person in respect, or on behalf, of such applicable Investor) (the “</w:t>
      </w:r>
      <w:r>
        <w:rPr>
          <w:rFonts w:ascii="Times New Roman" w:hAnsi="Times New Roman"/>
          <w:b/>
          <w:caps w:val="false"/>
          <w:smallCaps w:val="false"/>
          <w:sz w:val="20"/>
        </w:rPr>
        <w:t>Buy-In Price</w:t>
      </w:r>
      <w:r>
        <w:rPr>
          <w:rFonts w:ascii="Times New Roman" w:hAnsi="Times New Roman"/>
          <w:caps w:val="false"/>
          <w:smallCaps w:val="false"/>
          <w:sz w:val="20"/>
        </w:rPr>
        <w:t>”), at which point the Company’s obligation to so deliver such certificate or book entry statement or credit such Investor’s balance account shall terminate and such shares shall be cancelled, or (ii) promptly honor its obligation to so deliver to such Investor a certificate, certificates or book entry statement or credit the balance account of such Investor or such Investor’s designee with DTC representing such number of shares of Common Stock that would have been so delivered if the Company timely complied with its obligations hereunder and pay cash to such Investor in an amount equal to the excess (if any) of the Buy-In Price over the product of (A) such number of shares of Conversion Shares or New Penny Warrant Shares (as the case may be) that the Company was required to deliver to such Investor by the Required Delivery Date multiplied by (B) the lowest Market Price (as defined in the New Penny Warrants) of the Common Stock on any Business Day during the period commencing on the date of the delivery by such Investor to the Company of the applicable Conversion Shares or New Penny Warrant Shares (as the case may be) and ending on the date of such delivery and payment under this clause (ii). Nothing shall limit such Investor’s right to pursue any other remedies available to it hereunder, at law or in equity, including, without limitation, a decree of specific performance and/or injunctive relief with respect to the Company’s failure to timely deliver certificates or book entry statements representing shares of Common Stock (or to electronically deliver such shares of Common Stock) as required pursuant to the terms hereof. Notwithstanding anything herein to the contrary, with respect to any given Notice Failure and/or Delivery Failure, this Section 5(e) shall not apply to the applicable Investor to the extent the Company has already paid such amounts in full to such Investor with respect to such Notice Failure and/or Delivery Failure, as applicable, pursuant to the analogous sections of the Certificate of Designation or New Penny Warrant, as applicable, with respect to the Preferred Shares or New Penny Warrants, as applicable, then held by such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FAST Compliance</w:t>
      </w:r>
      <w:r>
        <w:rPr>
          <w:rFonts w:ascii="Times New Roman" w:hAnsi="Times New Roman"/>
          <w:caps w:val="false"/>
          <w:smallCaps w:val="false"/>
          <w:sz w:val="20"/>
        </w:rPr>
        <w:t>. While any Preferred Shares or New Penny Warrants remain outstanding, the Company shall maintain a transfer agent that participates in FAST.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caps w:val="false"/>
          <w:smallCaps w:val="false"/>
          <w:sz w:val="20"/>
        </w:rPr>
        <w:t>CONDITIONS TO THE COMPANY</w:t>
      </w:r>
      <w:r>
        <w:rPr>
          <w:rFonts w:ascii="Times New Roman" w:hAnsi="Times New Roman"/>
          <w:caps w:val="false"/>
          <w:smallCaps w:val="false"/>
          <w:sz w:val="20"/>
        </w:rPr>
        <w:t>’</w:t>
      </w:r>
      <w:r>
        <w:rPr>
          <w:rFonts w:ascii="Times New Roman" w:hAnsi="Times New Roman"/>
          <w:b/>
          <w:caps w:val="false"/>
          <w:smallCaps w:val="false"/>
          <w:sz w:val="20"/>
        </w:rPr>
        <w:t>S OBLIGATION TO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obligation of the Company hereunder to issue and sell the Securities at the Closing is subject to the satisfaction, at or before the Closing Date, of each of the following conditions, provided that these conditions are for the Company’s sole benefit and may be waived by the Company at any time in its sole discretion by providing each Investor with prior written notice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Each Investor shall have duly executed and delivered to the Company each Transaction Document to which it is a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Each Investor shall have delivered its applicable portion of the Cash Investment at signing and shall have performed in all material respects its covenants required to be performed by it at or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Each Investor shall have delivered evidence reasonably satisfactory to the Company of the Converted Debt to be exchanged by such Investor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The representations and warranties of each Investor shall be true and correct in all material respects as of the date when made and as of the Closing Date, except for representations and warranties qualified by materiality or Material Adverse Effect, which shall be true and correct in all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The Stockholder Approval shall have been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The Reverse Stock Split shall have been implemented.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No statute, rule, regulation, executive order, decree, ruling or injunction shall have been enacted, entered, promulgated or endorsed by any court or Governmental Entity that prohibits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xml:space="preserve">            </w:t>
      </w:r>
      <w:r>
        <w:rPr>
          <w:rFonts w:ascii="Times New Roman" w:hAnsi="Times New Roman"/>
          <w:b/>
          <w:caps w:val="false"/>
          <w:smallCaps w:val="false"/>
          <w:sz w:val="20"/>
        </w:rPr>
        <w:t>CONDITIONS TO EACH INVESTOR</w:t>
      </w:r>
      <w:r>
        <w:rPr>
          <w:rFonts w:ascii="Times New Roman" w:hAnsi="Times New Roman"/>
          <w:caps w:val="false"/>
          <w:smallCaps w:val="false"/>
          <w:sz w:val="20"/>
        </w:rPr>
        <w:t>’</w:t>
      </w:r>
      <w:r>
        <w:rPr>
          <w:rFonts w:ascii="Times New Roman" w:hAnsi="Times New Roman"/>
          <w:b/>
          <w:caps w:val="false"/>
          <w:smallCaps w:val="false"/>
          <w:sz w:val="20"/>
        </w:rPr>
        <w:t>S OBLIGATION TO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obligation of each Investor hereunder to purchase the Securities at the Closing is subject to the satisfaction, at or before the Closing Date, of each of the following conditions, provided that these conditions are for each Investor’s sole benefit and may be waived by such Investor at any time in its sole discretion by providing the Company with prior written notice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The Company shall have duly executed and delivered to such Investor each Transaction Document to which it is a party, and the Company shall have duly executed and delivered to such Investor a stock certificate (or book entry statement, as applicable) for such number of Preferred Shares as is set forth opposite such Investor’s name under the column “</w:t>
      </w:r>
      <w:r>
        <w:rPr>
          <w:rFonts w:ascii="Times New Roman" w:hAnsi="Times New Roman"/>
          <w:b/>
          <w:caps w:val="false"/>
          <w:smallCaps w:val="false"/>
          <w:sz w:val="20"/>
        </w:rPr>
        <w:t>Number of Preferred Shares</w:t>
      </w:r>
      <w:r>
        <w:rPr>
          <w:rFonts w:ascii="Times New Roman" w:hAnsi="Times New Roman"/>
          <w:caps w:val="false"/>
          <w:smallCaps w:val="false"/>
          <w:sz w:val="20"/>
        </w:rPr>
        <w:t>” of the Schedule of Investors as set forth on Exhibit B as being purchased by such Investor at the Closing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The Company shall have filed the Certificate of Designation with the Secretary of State of the State of Delaware, and such Certificate of Designation shall be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The Company shall have obtained the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The Company shall have implemented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The Company shall have delivered to such Investor a certificate, in the form acceptable to such Investor, executed by the Secretary of the Company and dated as of the Closing Date, as to (i) the resolutions consistent with Section 3(b) as adopted by the Board in a form reasonably acceptable to such Investor, (ii) the Certificate of Incorporation of the Company, and (iii) the Bylaws of the Company, each as in effect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The Company shall have delivered to such Investor a certificate evidencing the Company’s qualification as a foreign corporation and good standing issued by the Secretary of State (or comparable office) of each jurisdiction requested by an Investor in which the Company conducts business and is required to so qualify, as of a date within ten (10) days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Each and every representation and warranty of the Company shall be true and correct in all material respects as of the date when made and as of the Closing Date as though originally made at that time (except for representations and warranties that speak as of a specific date, which shall be true and correct in all material respects as of such specific date) except for representations and warranties qualified by materiality or Material Adverse Effect, which shall be true and correct in all respects and the Company shall have performed, satisfied and complied in all material respects with the covenants, agreements and conditions required to be performed, satisfied or complied with by the Company at or prior to the Closing Date. Such Investor shall have received a certificate, duly executed by the Chief Executive Officer of the Company, dated as of the Closing Date, to the foregoing effect and as to such other matters as may be reasonably requested by such Investor in the form reasonably acceptable to such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(viii)    The Company shall have delivered to such Investor a letter from the Transfer Agent certifying the number of shares of Common Stock outstanding on the Closing Date immediately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(ix)    The Company shall have delivered to such Investor a certificate evidencing the formation and good standing of the Company in the State of Delaware issued by the Delaware Secretary of State as of a date within ten (10) days of such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    The Company and the applicable Investors shall have entered into the Financing Agreement Amendment, and the Financing Agreement Amendment shall be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    The Company shall have issued the New Penny Warrants to the Investors in accordance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(xii)    The Board shall be constituted as contemplated by Section 4(cc), and the Company shall have entered into indemnification agreements with each Preferred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(xiii)    Such Investor shall have received the opinion of counsel to the Company, dated as of the Closing Date, in form and substance reasonably acceptable to such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(xiv)    The Company shall have delivered irrevocable Transfer Agent Instructions in form and substance reasonably acceptable to such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(xv)    The Company shall have delivered a certified copy of its Certificate of Incorporation, as amended, including the Certificate of Designation, and its bylaws,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(xvi)    The Common Stock shall be designated for quotation or listed (as applicable) on the Principal Market and shall not have been suspended by the SEC or the Principal Market, as of the Closing Date, from trading on the Principal Market nor shall suspension by the SEC or the Principal Market have been threatened and not cured, as of the Closing Date, either (i) in writing by the SEC or the Principal Market or (ii) by falling below the minimum maintenance requirements of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(xvii)    The Company shall have obtained all governmental, regulatory and third-party consents and approvals, if any, necessary for the issuance and sale of the Securities, including without limitation, those required by the Principal Market,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(xviii)    Since the date of this Agreement, no event or series of events shall have occurred that would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(xix)    The Company shall have delivered to such Investor such other documents, instruments or certificates relating to the transactions contemplated by this Agreement as such Investor or its counsel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xml:space="preserve">            </w:t>
      </w:r>
      <w:r>
        <w:rPr>
          <w:rFonts w:ascii="Times New Roman" w:hAnsi="Times New Roman"/>
          <w:b/>
          <w:caps w:val="false"/>
          <w:smallCaps w:val="false"/>
          <w:sz w:val="20"/>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Closing shall not have occurred on or prior to November 15, 2026, any Investor shall have the right to terminate its obligations under this Agreement by written notice to the Company; provided that the right to terminate this Agreement shall not be available to any Investor whose failure to comply with its obligations under this Agreement has been the primary cause of the failure of the Closing to occur. In addition, if the Company shall not have obtained the Stockholder Approval on or prior to October 30, 2026, any Investor shall have the right to terminate its obligations under this Agreement by written notice to the Company; provided that the right to terminate this Agreement shall not be available to any Investor whose failure to comply with its obligations under this Agreement has been the primary cause of the failure to obtain the Stockholder Approval. If this Agreement is terminated as a result of the Company’s failure to obtain the Stockholder Approval, Section 1(e) shall survive such termination and shall be automatically effective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xml:space="preserve">            </w:t>
      </w:r>
      <w:r>
        <w:rPr>
          <w:rFonts w:ascii="Times New Roman" w:hAnsi="Times New Roman"/>
          <w:b/>
          <w:caps w:val="false"/>
          <w:smallCaps w:val="false"/>
          <w:sz w:val="20"/>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Governing Law; Jurisdiction; Jury Trial</w:t>
      </w:r>
      <w:r>
        <w:rPr>
          <w:rFonts w:ascii="Times New Roman" w:hAnsi="Times New Roman"/>
          <w:caps w:val="false"/>
          <w:smallCaps w:val="false"/>
          <w:sz w:val="20"/>
        </w:rPr>
        <w:t>. This Agreement and the other Transaction Documents (unless expressly provided to the contrary in another Transaction Document with respect to such other Transaction Document) shall be governed by, and construed in accordance with, the laws of the State of New York. Any legal action or proceeding with respect to this Agreement or any other Transaction Document may be brought in the courts of the State of New York located in the County of New York or in the United States District Court for the Southern District of New York, and, by execution and delivery of this Agreement, each party hereto hereby irrevocably accepts, in respect of its property, generally and unconditionally, the jurisdiction of the aforesaid courts. Each party hereto hereby irrevocably consents to the service of process out of any of the aforementioned courts and in any such action or Proceeding by any means permitted by applicable law, including, without limitation, by mailing copies thereof by registered or certified mail, postage prepaid, to such party at its address for notices as set forth in this Agreement, such service to become effective ten (10) days after such mailing. Each party hereto agrees that a final judgment in any such action or proceeding shall be conclusive and may be enforced in other jurisdictions by suit on the judgment or in any other manner provided by law. Nothing herein shall affect the right of the Investors to serve process in any other manner permitted by law or to commence legal proceedings or otherwise proceed against any party in any other jurisdiction. Each party hereby expressly and irrevocably waives, to the fullest extent permitted by law, any objection that it may now or hereafter have to the jurisdiction or laying of venue of any such litigation brought in any court referred to above and any claim that any such litigation has been brought in an inconvenient forum. To the extent that any party has or hereafter may acquire any immunity from the jurisdiction of any court or from any legal process (whether through service of notice, attachment prior to judgment, attachment in aid of execution, or otherwise) with respect to itself or its property, each party hereby irrevocably waives such immunity in respect of its obligations under this Agreement and the other Transaction Documents. Each party hereto hereby waives (to the extent permitted by applicable law) any right to a trial by jury in any action, proceeding, or counterclaim concerning any rights under this Agreement or the other Transaction Documents, or under any amendment, waiver, consent, instrument, document, or other agreement delivered, or that in the future may be delivered, in connection therewith, or arising from any financing relationship existing in connection with this Agreement, and agrees that any such action, proceeding, or counterclaim shall be tried before a court and not before a jury. The scope of this waiver is intended to be all-encompassing and to cover any and all disputes that may be filed in any court and that relate to the subject matter of this transaction, including contract claims, tort claims, breach of duty claims, and all other common law and statutory claims. Each party hereto certifies that no officer, representative, agent, or attorney of any other party hereto has represented, expressly or otherwise, that such other party hereto would not, in the event of any action, proceeding, or counterclaim, seek to enforce the foregoing waivers. Each party hereto hereby acknowledges that this provision is a material inducement for each other party hereto to enter into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Counterparts</w:t>
      </w:r>
      <w:r>
        <w:rPr>
          <w:rFonts w:ascii="Times New Roman" w:hAnsi="Times New Roman"/>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Headings; Gender</w:t>
      </w:r>
      <w:r>
        <w:rPr>
          <w:rFonts w:ascii="Times New Roman" w:hAnsi="Times New Roman"/>
          <w:caps w:val="false"/>
          <w:smallCaps w:val="false"/>
          <w:sz w:val="20"/>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Severability; Maximum Payment Amounts</w:t>
      </w:r>
      <w:r>
        <w:rPr>
          <w:rFonts w:ascii="Times New Roman" w:hAnsi="Times New Roman"/>
          <w:caps w:val="false"/>
          <w:smallCaps w:val="false"/>
          <w:sz w:val="20"/>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Investors, under the Transaction Documents (including without limitation, any amounts that would be characterized as “interest” under applicable law) exceed amounts permitted under any applicable law. Accordingly, if any obligation to pay, payment made to any Investor, or collection by any Investor pursuant to the Transaction Documents is finally judicially determined to be contrary to any such applicable law, such obligation to pay, payment or collection shall be deemed to have been made by mutual mistake of such Investor,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Investor, the amount of interest or any other amounts which would constitute unlawful amounts required to be paid or actually paid to such Investor under the Transaction Documents. For greater certainty, to the extent that any interest, charges, fees, expenses or other amounts required to be paid to or received by such Investor under any of the Transaction Documents or related thereto are held to be within the meaning of “interest” or another applicable term to otherwise be violative of applicable law, such amounts shall be pro-rated over the period of time to which they relate.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Entire Agreement; Amendments</w:t>
      </w:r>
      <w:r>
        <w:rPr>
          <w:rFonts w:ascii="Times New Roman" w:hAnsi="Times New Roman"/>
          <w:caps w:val="false"/>
          <w:smallCaps w:val="false"/>
          <w:sz w:val="20"/>
        </w:rPr>
        <w:t>. This Agreement, the other Transaction Documents and the schedules and exhibits attached hereto and thereto and the instruments referenced herein and therein supersede all other prior oral or written agreements between the Investors, the Company, its Subsidiaries, their affiliates and Persons acting on their behalf, including, without limitation, any transactions by any Investor with respect to Common Stock or the Securities, and the other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any Investor has entered into with, or any instruments any Investor has received from, the Company or any of its Subsidiaries prior to the date hereof with respect to any prior investment made by such Investor in the Company or (ii) waive, alter, modify or amend in any respect any obligations of the Company or any of its Subsidiaries, or any rights of or benefits to any Investor or any other Person, in any agreement entered into prior to the date hereof between or among the Company and/or any of its Subsidiaries and any Investor, or any instruments any Investor received from the Company and/or any of its Subsidiaries prior to the date hereof, and all such agreements and instruments shall continue in full force and effect. Except as specifically set forth herein or therein, neither the Company nor any Investor makes any representation, warranty, covenant or undertaking with respect to such matters. For clarification purposes, the Recitals are part of this Agreement. No provision of this Agreement may be amended other than by an instrument in writing signed by the Company and the Required Holders, and any amendment to any provision of this Agreement made in conformity with the provisions of this Section 9(e) shall be binding on all Investors and holders of Securities, as applicable; provided that no such amendment shall be effective to the extent that it (A) applies to less than all of the holders of the Securities then outstanding or (B) imposes any obligation or liability on any Investor without such Investor’s prior written consent (which may be granted or withheld in such Investor’s sole discretion). No waiver shall be effective unless it is in writing and signed by an authorized representative of the waiving party, provided that the Required Holders may waive any provision of this Agreement, and any waiver of any provision of this Agreement made in conformity with the provisions of this Section 9(e) shall be binding on all Investors and holders of Securities, as applicable, provided that no such waiver shall be effective to the extent that it (1) applies to less than all of the holders of the Securities then outstanding (unless a party gives a waiver as to itself only) or (2) imposes any obligation or liability on any Investor without such Investor’s prior written consent (which may be granted or withheld in such Investor’s sole discretion). No consideration (other than reimbursement of legal fees) shall be offered or paid to any Person to amend or consent to a waiver or modification of any provision of any of the Transaction Documents unless the same consideration also is offered to all of the parties to the Transaction Documents, all holders of the Preferred Shares or all holders of the New Penny Warrants (as the case may be). From the date hereof and while any Preferred Shares or New Penny Warrants are outstanding, the Company shall not be permitted to receive any consideration from an Investor or a holder of Preferred Shares or New Penny Warrants that is not otherwise contemplated by the Transaction Documents in order to, directly or indirectly, induce the Company or any Subsidiary (i) to treat such Investor or holder of Preferred Shares or New Penny Warrants in a manner that is more favorable than to other similarly situated Investors or holders of Preferred Shares or New Penny Warrants, as applicable, or (ii) to treat any Investor(s) or holder(s) of Preferred Shares or New Penny Warrants in a manner that is less favorable than the Investor or holder of Preferred Shares or New Penny Warrants that is paying such consideration; provided, however, that the determination of whether an Investor has been treated more or less favorably than another Investor shall disregard any securities of the Company purchased or sold by any Investor. The Company has not, directly or indirectly, made any agreements with any Investors relating to the terms or conditions of the transactions contemplated by the Transaction Documents except as set forth in the Transaction Documents. Without limiting the foregoing, the Company confirms that, except as set forth in this Agreement, no Investor has made any commitment or promise or has any other obligation to provide any financing to the Company, any Subsidiary or otherwise. As a material inducement for each Investor to enter into this Agreement, the Company expressly acknowledges and agrees that (i) no due diligence or other investigation or inquiry conducted by an Investor, any of its advisors or any of its representatives shall affect such Investor’s right to rely on, or shall modify or qualify in any manner or be an exception to any of, the Company’s representations and warranties contained in this Agreement or any other Transaction Document and (ii) unless a provision of this Agreement or any other Transaction Document is expressly preceded by the phrase “except as disclosed in the SEC Documents,” nothing contained in any of the SEC Documents shall affect such Investor’s right to rely on, or shall modify or qualify in any manner or be an exception to any of, the Company’s representations and warranties contained in this Agreement or any other Transaction Document. “</w:t>
      </w:r>
      <w:r>
        <w:rPr>
          <w:rFonts w:ascii="Times New Roman" w:hAnsi="Times New Roman"/>
          <w:b/>
          <w:caps w:val="false"/>
          <w:smallCaps w:val="false"/>
          <w:sz w:val="20"/>
        </w:rPr>
        <w:t>Required Holders</w:t>
      </w:r>
      <w:r>
        <w:rPr>
          <w:rFonts w:ascii="Times New Roman" w:hAnsi="Times New Roman"/>
          <w:caps w:val="false"/>
          <w:smallCaps w:val="false"/>
          <w:sz w:val="20"/>
        </w:rPr>
        <w:t>” means (i) TCW until such date after the Closing Date on which TCW and its affiliates no longer beneficially own any Registrable Securities issued or issuable hereunder or pursuant to the Certificate of Designation and/or the New Penny Warrants, and (ii)  thereafter, the holders of a majority of the Registrable Securities as of such time (excluding any Registrable Securities held by the Company or any of its Subsidiaries as of such time) issued or issuable hereunder or pursuant to the Certificate of Designation and/or the New Penny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Notices</w:t>
      </w:r>
      <w:r>
        <w:rPr>
          <w:rFonts w:ascii="Times New Roman" w:hAnsi="Times New Roman"/>
          <w:caps w:val="false"/>
          <w:smallCaps w:val="false"/>
          <w:sz w:val="20"/>
        </w:rPr>
        <w:t>.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If to the Company:</w:t>
        <w:br/>
        <w:br/>
        <w:t>Accuray Incorporated</w:t>
        <w:br/>
        <w:t>1240 Deming Way</w:t>
        <w:br/>
        <w:t>Madison, WI 53717-1954</w:t>
        <w:br/>
        <w:t>Attention: Ali Pervaiz, Chief Financial Officer; David Shin, Chief Legal Officer</w:t>
        <w:b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With a copy (for informational purposes only) to:</w:t>
        <w:br/>
        <w:br/>
        <w:t>Wilson Sonsini Goodrich &amp; Rosati, Professional Corporation</w:t>
        <w:br/>
        <w:t>650 Page Mill Road</w:t>
        <w:br/>
        <w:t>Palo Alto, CA 94304</w:t>
        <w:br/>
        <w:t>Attention: Lisa Stimmell; Erik Franks</w:t>
        <w:b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If to the Transfer Agent:</w:t>
        <w:br/>
        <w:br/>
        <w:t>Computershare Inc.</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250 Royall Street </w:t>
        <w:br/>
        <w:t>Canton MA 0202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to an Investor, to its mailing address or e-mail address set forth opposite such Investor’s name on Exhibit B, with copies to such Investor’s representatives (if any) as set forth opposite such Investor’s name on Exhibit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With a copy (for informational purposes only) to:</w:t>
        <w:br/>
        <w:br/>
        <w:t>Paul Hastings LLP</w:t>
        <w:br/>
        <w:t>1117 California Ave</w:t>
        <w:br/>
        <w:t>Palo Alto, CA 94304</w:t>
        <w:br/>
        <w:t>Attention: Jeffrey T. Hartlin; Justin Rawlins</w:t>
        <w:b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or to such other mailing address and/or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e-mail containing the time, date and recipient’s e-mail or (C) provided by an overnight courier service shall be rebuttable evidence of personal service, receipt by e-mail or receipt from an overnight courier service in accordance with clause (i), (ii) or (iii) above,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Successors and Assigns</w:t>
      </w:r>
      <w:r>
        <w:rPr>
          <w:rFonts w:ascii="Times New Roman" w:hAnsi="Times New Roman"/>
          <w:caps w:val="false"/>
          <w:smallCaps w:val="false"/>
          <w:sz w:val="20"/>
        </w:rPr>
        <w:t>. This Agreement shall be binding upon and inure to the benefit of the parties and their respective successors and assigns, including any purchasers of any of the Preferred Shares and New Penny Warrants. The Company shall not assign this Agreement or any rights or obligations hereunder without the prior written consent of the Required Holders, including, without limitation, by way of a Fundamental Transaction (as defined in the New Penny Warrants) (unless the Company is in compliance with the applicable provisions governing Fundamental Transactions set forth in the New Penny Warrants) or a Fundamental Transaction (as defined in the Certificate of Designation) (unless the Company is in compliance with the applicable provisions governing Fundamental Transactions set forth in the Certificate of Designation). An Investor may not assign some or all of its rights hereunder without the consent of the Company (such consent not to be unreasonably conditioned, withheld or delayed), other than an assignment of such rights in connection with any transfer of any of its Securities to one or more (x) Investors, (y) Affiliates or Related Funds (each as defined in the Financing Agreement) of any Investor or (z) commercial banks, insurance companies, or finance companies, financial institutions, any fund that invests in loans or any other “accredited investor” (as defined in Regulation D of the Securities Act) (other than a Competitor (as defined in the Financing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No Third Party Beneficiaries</w:t>
      </w:r>
      <w:r>
        <w:rPr>
          <w:rFonts w:ascii="Times New Roman" w:hAnsi="Times New Roman"/>
          <w:caps w:val="false"/>
          <w:smallCaps w:val="false"/>
          <w:sz w:val="20"/>
        </w:rPr>
        <w:t>. This Agreement is intended for the benefit of the parties hereto and their respective permitted successors and assigns, and is not for the benefit of, nor may any provision hereof be enforced by, any other Person, other than the Indemnitees referred to in Section 9(k).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Survival</w:t>
      </w:r>
      <w:r>
        <w:rPr>
          <w:rFonts w:ascii="Times New Roman" w:hAnsi="Times New Roman"/>
          <w:caps w:val="false"/>
          <w:smallCaps w:val="false"/>
          <w:sz w:val="20"/>
        </w:rPr>
        <w:t>. The representations and warranties of the Investors contained in Section 2 shall not survive the Closing. The representations and warranties of the Company contained in Section 3 shall survive the Closing. All covenants and agreements of the parties contained herein shall survive until fully performed. Each Investor shall be responsible only for its own representations, warranties, agreements and covenants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b/>
          <w:caps w:val="false"/>
          <w:smallCaps w:val="false"/>
          <w:sz w:val="20"/>
        </w:rPr>
        <w:t>Further Assurances</w:t>
      </w:r>
      <w:r>
        <w:rPr>
          <w:rFonts w:ascii="Times New Roman" w:hAnsi="Times New Roman"/>
          <w:caps w:val="false"/>
          <w:smallCaps w:val="false"/>
          <w:sz w:val="20"/>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b/>
          <w:caps w:val="false"/>
          <w:smallCaps w:val="false"/>
          <w:sz w:val="20"/>
        </w:rPr>
        <w:t>Indemnification</w:t>
      </w:r>
      <w:r>
        <w:rPr>
          <w:rFonts w:ascii="Times New Roman" w:hAnsi="Times New Roman"/>
          <w:caps w:val="false"/>
          <w:smallCaps w:val="false"/>
          <w:sz w:val="20"/>
        </w:rPr>
        <w:t>. In consideration of each Investor’s execution and delivery of the Transaction Documents and acquiring the Securities thereunder and in addition to all of the Company’s other obligations under the Transaction Documents, the Company shall defend, protect, indemnify and hold harmless each Investor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hAnsi="Times New Roman"/>
          <w:b/>
          <w:caps w:val="false"/>
          <w:smallCaps w:val="false"/>
          <w:sz w:val="20"/>
        </w:rPr>
        <w:t>Indemnitees</w:t>
      </w:r>
      <w:r>
        <w:rPr>
          <w:rFonts w:ascii="Times New Roman" w:hAnsi="Times New Roman"/>
          <w:caps w:val="false"/>
          <w:smallCaps w:val="false"/>
          <w:sz w:val="20"/>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hAnsi="Times New Roman"/>
          <w:b/>
          <w:caps w:val="false"/>
          <w:smallCaps w:val="false"/>
          <w:sz w:val="20"/>
        </w:rPr>
        <w:t>Indemnified Liabilities</w:t>
      </w:r>
      <w:r>
        <w:rPr>
          <w:rFonts w:ascii="Times New Roman" w:hAnsi="Times New Roman"/>
          <w:caps w:val="false"/>
          <w:smallCaps w:val="false"/>
          <w:sz w:val="20"/>
        </w:rPr>
        <w:t>”), incurred by any Indemnitee as a result of, or arising out of, or relating to (i) any misrepresentation or breach of any representation or warranty made by the Company or any Subsidiary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(C) any disclosure properly made by such Investor pursuant to Section 4(i), or (D) the status of such Investor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 Except as otherwise set forth herein, the mechanics and procedures with respect to the rights and obligations under this Section 9(k) shall be the same as those set forth in Section 4(w).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b/>
          <w:caps w:val="false"/>
          <w:smallCaps w:val="false"/>
          <w:sz w:val="20"/>
        </w:rPr>
        <w:t>Construction</w:t>
      </w:r>
      <w:r>
        <w:rPr>
          <w:rFonts w:ascii="Times New Roman" w:hAnsi="Times New Roman"/>
          <w:caps w:val="false"/>
          <w:smallCaps w:val="false"/>
          <w:sz w:val="20"/>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Investor (or its broker or other financial representative) to effect short sales or similar transactions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b/>
          <w:caps w:val="false"/>
          <w:smallCaps w:val="false"/>
          <w:sz w:val="20"/>
        </w:rPr>
        <w:t>Remedies</w:t>
      </w:r>
      <w:r>
        <w:rPr>
          <w:rFonts w:ascii="Times New Roman" w:hAnsi="Times New Roman"/>
          <w:caps w:val="false"/>
          <w:smallCaps w:val="false"/>
          <w:sz w:val="20"/>
        </w:rPr>
        <w:t>. Each Investor and in the event of assignment by Investor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provide inadequate relief to the Investors. The Company therefore agrees that the Investors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b/>
          <w:caps w:val="false"/>
          <w:smallCaps w:val="false"/>
          <w:sz w:val="20"/>
        </w:rPr>
        <w:t>Withdrawal Right</w:t>
      </w:r>
      <w:r>
        <w:rPr>
          <w:rFonts w:ascii="Times New Roman" w:hAnsi="Times New Roman"/>
          <w:caps w:val="false"/>
          <w:smallCaps w:val="false"/>
          <w:sz w:val="20"/>
        </w:rPr>
        <w:t>. Notwithstanding anything to the contrary contained in (and without limiting any similar provisions of) the Transaction Documents, whenever any Investor exercises a right, election, demand or option under a Transaction Document and the Company or any Subsidiary does not timely perform its related obligations within the periods therein provided, then such Investor may rescind or withdraw, in its sole discretion from time to time upon written notice to the Company or such Subsidiary (as the case may be), any relevant notice, demand or election in whole or in part without prejudice to its future actions and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b/>
          <w:caps w:val="false"/>
          <w:smallCaps w:val="false"/>
          <w:sz w:val="20"/>
        </w:rPr>
        <w:t>Payment Set Aside</w:t>
      </w:r>
      <w:r>
        <w:rPr>
          <w:rFonts w:ascii="Times New Roman" w:hAnsi="Times New Roman"/>
          <w:caps w:val="false"/>
          <w:smallCaps w:val="false"/>
          <w:sz w:val="20"/>
        </w:rPr>
        <w:t>. To the extent that the Company makes a payment or payments to any Investor hereunder or pursuant to any of the other Transaction Documents or any of the Investors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b/>
          <w:caps w:val="false"/>
          <w:smallCaps w:val="false"/>
          <w:sz w:val="20"/>
        </w:rPr>
        <w:t>Independent Nature of Investors</w:t>
      </w:r>
      <w:r>
        <w:rPr>
          <w:rFonts w:ascii="Times New Roman" w:hAnsi="Times New Roman"/>
          <w:caps w:val="false"/>
          <w:smallCaps w:val="false"/>
          <w:sz w:val="20"/>
        </w:rPr>
        <w:t xml:space="preserve">’ </w:t>
      </w:r>
      <w:r>
        <w:rPr>
          <w:rFonts w:ascii="Times New Roman" w:hAnsi="Times New Roman"/>
          <w:b/>
          <w:caps w:val="false"/>
          <w:smallCaps w:val="false"/>
          <w:sz w:val="20"/>
        </w:rPr>
        <w:t>Obligations and Rights</w:t>
      </w:r>
      <w:r>
        <w:rPr>
          <w:rFonts w:ascii="Times New Roman" w:hAnsi="Times New Roman"/>
          <w:caps w:val="false"/>
          <w:smallCaps w:val="false"/>
          <w:sz w:val="20"/>
        </w:rPr>
        <w:t>. The obligations of each Investor under the Transaction Documents are several and not joint with the obligations of any other Investor, and no Investor shall be responsible in any way for the performance of the obligations of any other Investor under any Transaction Document. Nothing contained herein or in any other Transaction Document, and no action taken by any Investor pursuant hereto or thereto, shall be deemed to constitute the Investors as, and the Company acknowledges that the Investors do not so constitute, a partnership, an association, a joint venture or any other kind of group or entity, or create a presumption that the Investors are in any way acting in concert or as a group or entity, and the Company shall not assert any such claim with respect to such obligations or the transactions contemplated by the Transaction Documents or any matters, and the Company acknowledges that the Investors are not acting in concert or as a group, and the Company shall not assert any such claim, with respect to such obligations or the transactions contemplated by the Transaction Documents. The decision of each Investor to purchase Securities pursuant to the Transaction Documents has been made by such Investor independently of any other Investor. Each Investor acknowledges that no other Investor has acted as agent for such Investor in connection with such Investor making its investment hereunder and that no other Investor will be acting as agent of such Investor in connection with monitoring such Investor’s investment in the Securities or enforcing its rights under the Transaction Documents. The Company and each Investor confirms that each Investor has independently participated with the Company and its Subsidiaries in the negotiation of the transaction contemplated hereby with the advice of its own counsel and advisors. Each Investor shall be entitled to independently protect and enforce its rights, including, without limitation, the rights arising out of this Agreement or out of any other Transaction Documents, and it shall not be necessary for any other Investor to be joined as an additional party in any proceeding for such purpose. The use of a single agreement to effectuate the purchase and sale of the Securities contemplated hereby was solely in the control of the Company, not the action or decision of any Investor, and was done solely for the convenience of the Company and its Subsidiaries and not because it was required or requested to do so by any Investor. It is expressly understood and agreed that each provision contained in this Agreement and in each other Transaction Document is between the Company, each Subsidiary and an Investor, solely, and not between the Company, its Subsidiaries and the Investors collectively and not between and among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Pages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each Investor and the Company have caused their respective signature page to this Agreement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5059" w:type="dxa"/>
        <w:jc w:val="left"/>
        <w:tblInd w:w="0" w:type="dxa"/>
        <w:tblLayout w:type="fixed"/>
        <w:tblCellMar>
          <w:top w:w="0" w:type="dxa"/>
          <w:left w:w="0" w:type="dxa"/>
          <w:bottom w:w="0" w:type="dxa"/>
          <w:right w:w="0" w:type="dxa"/>
        </w:tblCellMar>
      </w:tblPr>
      <w:tblGrid>
        <w:gridCol w:w="60"/>
        <w:gridCol w:w="1389"/>
        <w:gridCol w:w="3550"/>
        <w:gridCol w:w="60"/>
      </w:tblGrid>
      <w:tr>
        <w:trPr/>
        <w:tc>
          <w:tcPr>
            <w:tcW w:w="60" w:type="dxa"/>
            <w:tcBorders/>
            <w:vAlign w:val="center"/>
          </w:tcPr>
          <w:p>
            <w:pPr>
              <w:pStyle w:val="TableContents"/>
              <w:bidi w:val="0"/>
              <w:spacing w:before="0" w:after="283"/>
              <w:jc w:val="left"/>
              <w:rPr/>
            </w:pPr>
            <w:r>
              <w:rPr/>
              <w:t> </w:t>
            </w:r>
          </w:p>
        </w:tc>
        <w:tc>
          <w:tcPr>
            <w:tcW w:w="4939" w:type="dxa"/>
            <w:gridSpan w:val="2"/>
            <w:tcBorders/>
            <w:vAlign w:val="center"/>
          </w:tcPr>
          <w:p>
            <w:pPr>
              <w:pStyle w:val="TableContents"/>
              <w:bidi w:val="0"/>
              <w:spacing w:before="0" w:after="283"/>
              <w:jc w:val="left"/>
              <w:rPr/>
            </w:pPr>
            <w:r>
              <w:rPr>
                <w:b/>
              </w:rPr>
              <w:t>COMPANY</w:t>
            </w:r>
            <w:r>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89" w:type="dxa"/>
            <w:tcBorders/>
            <w:vAlign w:val="center"/>
          </w:tcPr>
          <w:p>
            <w:pPr>
              <w:pStyle w:val="TableContents"/>
              <w:bidi w:val="0"/>
              <w:spacing w:before="0" w:after="283"/>
              <w:jc w:val="left"/>
              <w:rPr/>
            </w:pPr>
            <w:r>
              <w:rPr/>
              <w:t> </w:t>
            </w:r>
          </w:p>
        </w:tc>
        <w:tc>
          <w:tcPr>
            <w:tcW w:w="3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939" w:type="dxa"/>
            <w:gridSpan w:val="2"/>
            <w:tcBorders/>
            <w:vAlign w:val="center"/>
          </w:tcPr>
          <w:p>
            <w:pPr>
              <w:pStyle w:val="TableContents"/>
              <w:bidi w:val="0"/>
              <w:spacing w:before="0" w:after="283"/>
              <w:jc w:val="left"/>
              <w:rPr/>
            </w:pPr>
            <w:r>
              <w:rPr/>
              <w:t>ACCURAY INCORPORATED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89" w:type="dxa"/>
            <w:tcBorders/>
            <w:vAlign w:val="center"/>
          </w:tcPr>
          <w:p>
            <w:pPr>
              <w:pStyle w:val="TableContents"/>
              <w:bidi w:val="0"/>
              <w:spacing w:before="0" w:after="283"/>
              <w:jc w:val="left"/>
              <w:rPr/>
            </w:pPr>
            <w:r>
              <w:rPr/>
              <w:t> </w:t>
            </w:r>
          </w:p>
        </w:tc>
        <w:tc>
          <w:tcPr>
            <w:tcW w:w="3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89" w:type="dxa"/>
            <w:tcBorders/>
            <w:vAlign w:val="center"/>
          </w:tcPr>
          <w:p>
            <w:pPr>
              <w:pStyle w:val="TableContents"/>
              <w:bidi w:val="0"/>
              <w:spacing w:before="0" w:after="283"/>
              <w:jc w:val="left"/>
              <w:rPr/>
            </w:pPr>
            <w:r>
              <w:rPr/>
              <w:t>By:</w:t>
            </w:r>
          </w:p>
        </w:tc>
        <w:tc>
          <w:tcPr>
            <w:tcW w:w="3550" w:type="dxa"/>
            <w:tcBorders>
              <w:bottom w:val="single" w:sz="2" w:space="0" w:color="000000"/>
            </w:tcBorders>
            <w:tcMar>
              <w:bottom w:w="28" w:type="dxa"/>
            </w:tcMar>
            <w:vAlign w:val="center"/>
          </w:tcPr>
          <w:p>
            <w:pPr>
              <w:pStyle w:val="TableContents"/>
              <w:bidi w:val="0"/>
              <w:spacing w:before="0" w:after="283"/>
              <w:jc w:val="left"/>
              <w:rPr/>
            </w:pPr>
            <w:r>
              <w:rPr/>
              <w:t>/s/ Ali Pervaiz</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939" w:type="dxa"/>
            <w:gridSpan w:val="2"/>
            <w:tcBorders/>
            <w:vAlign w:val="center"/>
          </w:tcPr>
          <w:p>
            <w:pPr>
              <w:pStyle w:val="TableContents"/>
              <w:bidi w:val="0"/>
              <w:spacing w:before="0" w:after="283"/>
              <w:jc w:val="left"/>
              <w:rPr/>
            </w:pPr>
            <w:r>
              <w:rPr/>
              <w:t>Name: Ali Pervaiz</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939" w:type="dxa"/>
            <w:gridSpan w:val="2"/>
            <w:tcBorders/>
            <w:vAlign w:val="center"/>
          </w:tcPr>
          <w:p>
            <w:pPr>
              <w:pStyle w:val="TableContents"/>
              <w:bidi w:val="0"/>
              <w:spacing w:before="0" w:after="283"/>
              <w:jc w:val="left"/>
              <w:rPr/>
            </w:pPr>
            <w:r>
              <w:rPr/>
              <w:t>Title: Senior Vice President, 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each Investor and the Company have caused their respective signature page to this Agreement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4129" w:type="dxa"/>
        <w:jc w:val="left"/>
        <w:tblInd w:w="0" w:type="dxa"/>
        <w:tblLayout w:type="fixed"/>
        <w:tblCellMar>
          <w:top w:w="0" w:type="dxa"/>
          <w:left w:w="0" w:type="dxa"/>
          <w:bottom w:w="0" w:type="dxa"/>
          <w:right w:w="0" w:type="dxa"/>
        </w:tblCellMar>
      </w:tblPr>
      <w:tblGrid>
        <w:gridCol w:w="60"/>
        <w:gridCol w:w="674"/>
        <w:gridCol w:w="3335"/>
        <w:gridCol w:w="60"/>
      </w:tblGrid>
      <w:tr>
        <w:trPr/>
        <w:tc>
          <w:tcPr>
            <w:tcW w:w="60" w:type="dxa"/>
            <w:tcBorders/>
            <w:vAlign w:val="center"/>
          </w:tcPr>
          <w:p>
            <w:pPr>
              <w:pStyle w:val="TableContents"/>
              <w:bidi w:val="0"/>
              <w:spacing w:before="0" w:after="283"/>
              <w:jc w:val="left"/>
              <w:rPr/>
            </w:pPr>
            <w:r>
              <w:rPr/>
              <w:t> </w:t>
            </w:r>
          </w:p>
        </w:tc>
        <w:tc>
          <w:tcPr>
            <w:tcW w:w="4009" w:type="dxa"/>
            <w:gridSpan w:val="2"/>
            <w:tcBorders/>
            <w:vAlign w:val="center"/>
          </w:tcPr>
          <w:p>
            <w:pPr>
              <w:pStyle w:val="TableContents"/>
              <w:bidi w:val="0"/>
              <w:spacing w:before="0" w:after="283"/>
              <w:jc w:val="left"/>
              <w:rPr/>
            </w:pPr>
            <w:r>
              <w:rPr>
                <w:b/>
              </w:rPr>
              <w:t>INVESTOR</w:t>
            </w:r>
            <w:r>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09" w:type="dxa"/>
            <w:gridSpan w:val="2"/>
            <w:tcBorders/>
            <w:vAlign w:val="center"/>
          </w:tcPr>
          <w:p>
            <w:pPr>
              <w:pStyle w:val="TableContents"/>
              <w:bidi w:val="0"/>
              <w:spacing w:before="0" w:after="283"/>
              <w:jc w:val="left"/>
              <w:rPr/>
            </w:pPr>
            <w:r>
              <w:rPr/>
              <w:t>First Trust Alternative Opportunities Fund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By:</w:t>
            </w:r>
          </w:p>
        </w:tc>
        <w:tc>
          <w:tcPr>
            <w:tcW w:w="3335" w:type="dxa"/>
            <w:tcBorders>
              <w:bottom w:val="single" w:sz="2" w:space="0" w:color="000000"/>
            </w:tcBorders>
            <w:tcMar>
              <w:bottom w:w="28" w:type="dxa"/>
            </w:tcMar>
            <w:vAlign w:val="center"/>
          </w:tcPr>
          <w:p>
            <w:pPr>
              <w:pStyle w:val="TableContents"/>
              <w:bidi w:val="0"/>
              <w:spacing w:before="0" w:after="283"/>
              <w:jc w:val="left"/>
              <w:rPr/>
            </w:pPr>
            <w:r>
              <w:rPr/>
              <w:t>/s/ Chad Eisenberg</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09" w:type="dxa"/>
            <w:gridSpan w:val="2"/>
            <w:tcBorders/>
            <w:vAlign w:val="center"/>
          </w:tcPr>
          <w:p>
            <w:pPr>
              <w:pStyle w:val="TableContents"/>
              <w:bidi w:val="0"/>
              <w:spacing w:before="0" w:after="283"/>
              <w:jc w:val="left"/>
              <w:rPr/>
            </w:pPr>
            <w:r>
              <w:rPr/>
              <w:t>Name: Chad Eisenberg</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09" w:type="dxa"/>
            <w:gridSpan w:val="2"/>
            <w:tcBorders/>
            <w:vAlign w:val="center"/>
          </w:tcPr>
          <w:p>
            <w:pPr>
              <w:pStyle w:val="TableContents"/>
              <w:bidi w:val="0"/>
              <w:spacing w:before="0" w:after="283"/>
              <w:jc w:val="left"/>
              <w:rPr/>
            </w:pPr>
            <w:r>
              <w:rPr/>
              <w:t>Title: Chief Operating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each Investor and the Company have caused their respective signature page to this Agreement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034" w:type="dxa"/>
        <w:jc w:val="left"/>
        <w:tblInd w:w="0" w:type="dxa"/>
        <w:tblLayout w:type="fixed"/>
        <w:tblCellMar>
          <w:top w:w="0" w:type="dxa"/>
          <w:left w:w="0" w:type="dxa"/>
          <w:bottom w:w="0" w:type="dxa"/>
          <w:right w:w="0" w:type="dxa"/>
        </w:tblCellMar>
      </w:tblPr>
      <w:tblGrid>
        <w:gridCol w:w="60"/>
        <w:gridCol w:w="490"/>
        <w:gridCol w:w="2424"/>
        <w:gridCol w:w="60"/>
      </w:tblGrid>
      <w:tr>
        <w:trPr/>
        <w:tc>
          <w:tcPr>
            <w:tcW w:w="60"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left"/>
              <w:rPr/>
            </w:pPr>
            <w:r>
              <w:rPr>
                <w:b/>
              </w:rPr>
              <w:t>INVESTOR</w:t>
            </w:r>
            <w:r>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left"/>
              <w:rPr/>
            </w:pPr>
            <w:r>
              <w:rPr/>
              <w:t>First Trust Private Credit Fund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pPr>
            <w:r>
              <w:rPr/>
              <w:t>By:</w:t>
            </w:r>
          </w:p>
        </w:tc>
        <w:tc>
          <w:tcPr>
            <w:tcW w:w="2424" w:type="dxa"/>
            <w:tcBorders>
              <w:bottom w:val="single" w:sz="2" w:space="0" w:color="000000"/>
            </w:tcBorders>
            <w:tcMar>
              <w:bottom w:w="28" w:type="dxa"/>
            </w:tcMar>
            <w:vAlign w:val="center"/>
          </w:tcPr>
          <w:p>
            <w:pPr>
              <w:pStyle w:val="TableContents"/>
              <w:bidi w:val="0"/>
              <w:spacing w:before="0" w:after="283"/>
              <w:jc w:val="left"/>
              <w:rPr/>
            </w:pPr>
            <w:r>
              <w:rPr/>
              <w:t>/s/ Chad Eisenberg</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left"/>
              <w:rPr/>
            </w:pPr>
            <w:r>
              <w:rPr/>
              <w:t>Name: Chad Eisenberg</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left"/>
              <w:rPr/>
            </w:pPr>
            <w:r>
              <w:rPr/>
              <w:t>Title: Chief Operating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each Investor and the Company have caused their respective signature page to this Agreement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4039" w:type="dxa"/>
        <w:jc w:val="left"/>
        <w:tblInd w:w="0" w:type="dxa"/>
        <w:tblLayout w:type="fixed"/>
        <w:tblCellMar>
          <w:top w:w="0" w:type="dxa"/>
          <w:left w:w="0" w:type="dxa"/>
          <w:bottom w:w="0" w:type="dxa"/>
          <w:right w:w="0" w:type="dxa"/>
        </w:tblCellMar>
      </w:tblPr>
      <w:tblGrid>
        <w:gridCol w:w="60"/>
        <w:gridCol w:w="659"/>
        <w:gridCol w:w="3260"/>
        <w:gridCol w:w="60"/>
      </w:tblGrid>
      <w:tr>
        <w:trPr/>
        <w:tc>
          <w:tcPr>
            <w:tcW w:w="6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b/>
              </w:rPr>
              <w:t>INVESTOR</w:t>
            </w:r>
            <w:r>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First Trust Enhanced Private Credit Fund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pPr>
            <w:r>
              <w:rPr/>
              <w:t>By:</w:t>
            </w:r>
          </w:p>
        </w:tc>
        <w:tc>
          <w:tcPr>
            <w:tcW w:w="3260" w:type="dxa"/>
            <w:tcBorders>
              <w:bottom w:val="single" w:sz="2" w:space="0" w:color="000000"/>
            </w:tcBorders>
            <w:tcMar>
              <w:bottom w:w="28" w:type="dxa"/>
            </w:tcMar>
            <w:vAlign w:val="center"/>
          </w:tcPr>
          <w:p>
            <w:pPr>
              <w:pStyle w:val="TableContents"/>
              <w:bidi w:val="0"/>
              <w:spacing w:before="0" w:after="283"/>
              <w:jc w:val="left"/>
              <w:rPr/>
            </w:pPr>
            <w:r>
              <w:rPr/>
              <w:t>/s/ Chad Eisenberg</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Name: Chad Eisenberg</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Title: Chief Operating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each Investor and the Company have caused their respective signature page to this Agreement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60"/>
        <w:gridCol w:w="365"/>
        <w:gridCol w:w="2585"/>
        <w:gridCol w:w="60"/>
      </w:tblGrid>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b/>
              </w:rPr>
              <w:t>INVESTOR</w:t>
            </w:r>
            <w:r>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Asilia Credit Fund, LP</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w:t>
            </w:r>
          </w:p>
        </w:tc>
        <w:tc>
          <w:tcPr>
            <w:tcW w:w="2585" w:type="dxa"/>
            <w:tcBorders/>
            <w:vAlign w:val="center"/>
          </w:tcPr>
          <w:p>
            <w:pPr>
              <w:pStyle w:val="TableContents"/>
              <w:bidi w:val="0"/>
              <w:spacing w:before="0" w:after="283"/>
              <w:jc w:val="left"/>
              <w:rPr>
                <w:sz w:val="20"/>
              </w:rPr>
            </w:pPr>
            <w:r>
              <w:rPr>
                <w:sz w:val="20"/>
              </w:rPr>
              <w:t>Ailisa Credit Investments, LLC,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its investment manager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585" w:type="dxa"/>
            <w:tcBorders>
              <w:bottom w:val="single" w:sz="2" w:space="0" w:color="000000"/>
            </w:tcBorders>
            <w:tcMar>
              <w:bottom w:w="28" w:type="dxa"/>
            </w:tcMar>
            <w:vAlign w:val="center"/>
          </w:tcPr>
          <w:p>
            <w:pPr>
              <w:pStyle w:val="TableContents"/>
              <w:bidi w:val="0"/>
              <w:spacing w:before="0" w:after="283"/>
              <w:jc w:val="left"/>
              <w:rPr/>
            </w:pPr>
            <w:r>
              <w:rPr/>
              <w:t>/s/ K. Austin Read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Name: K. Austin Read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Title: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each Investor and the Company have caused their respective signature page to this Agreement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60"/>
        <w:gridCol w:w="365"/>
        <w:gridCol w:w="2585"/>
        <w:gridCol w:w="60"/>
      </w:tblGrid>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b/>
              </w:rPr>
              <w:t>INVESTOR</w:t>
            </w:r>
            <w:r>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Asilia Credit Master Fund, LP</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w:t>
            </w:r>
          </w:p>
        </w:tc>
        <w:tc>
          <w:tcPr>
            <w:tcW w:w="2585" w:type="dxa"/>
            <w:tcBorders/>
            <w:vAlign w:val="center"/>
          </w:tcPr>
          <w:p>
            <w:pPr>
              <w:pStyle w:val="TableContents"/>
              <w:bidi w:val="0"/>
              <w:spacing w:before="0" w:after="283"/>
              <w:jc w:val="left"/>
              <w:rPr>
                <w:sz w:val="20"/>
              </w:rPr>
            </w:pPr>
            <w:r>
              <w:rPr>
                <w:sz w:val="20"/>
              </w:rPr>
              <w:t>Ailisa Credit Investments, LLC,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its investment manager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585" w:type="dxa"/>
            <w:tcBorders>
              <w:bottom w:val="single" w:sz="2" w:space="0" w:color="000000"/>
            </w:tcBorders>
            <w:tcMar>
              <w:bottom w:w="28" w:type="dxa"/>
            </w:tcMar>
            <w:vAlign w:val="center"/>
          </w:tcPr>
          <w:p>
            <w:pPr>
              <w:pStyle w:val="TableContents"/>
              <w:bidi w:val="0"/>
              <w:spacing w:before="0" w:after="283"/>
              <w:jc w:val="left"/>
              <w:rPr/>
            </w:pPr>
            <w:r>
              <w:rPr/>
              <w:t>/s/ K. Austin Read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Name: K. Austin Read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Title: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each Investor and the Company have caused their respective signature page to this Agreement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60"/>
        <w:gridCol w:w="365"/>
        <w:gridCol w:w="2585"/>
        <w:gridCol w:w="60"/>
      </w:tblGrid>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b/>
              </w:rPr>
              <w:t>INVESTOR</w:t>
            </w:r>
            <w:r>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Asilia GC Fund, LP</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w:t>
            </w:r>
          </w:p>
        </w:tc>
        <w:tc>
          <w:tcPr>
            <w:tcW w:w="2585" w:type="dxa"/>
            <w:tcBorders/>
            <w:vAlign w:val="center"/>
          </w:tcPr>
          <w:p>
            <w:pPr>
              <w:pStyle w:val="TableContents"/>
              <w:bidi w:val="0"/>
              <w:spacing w:before="0" w:after="283"/>
              <w:jc w:val="left"/>
              <w:rPr>
                <w:sz w:val="20"/>
              </w:rPr>
            </w:pPr>
            <w:r>
              <w:rPr>
                <w:sz w:val="20"/>
              </w:rPr>
              <w:t>Ailisa Credit Investments, LLC,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its investment manager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585" w:type="dxa"/>
            <w:tcBorders>
              <w:bottom w:val="single" w:sz="2" w:space="0" w:color="000000"/>
            </w:tcBorders>
            <w:tcMar>
              <w:bottom w:w="28" w:type="dxa"/>
            </w:tcMar>
            <w:vAlign w:val="center"/>
          </w:tcPr>
          <w:p>
            <w:pPr>
              <w:pStyle w:val="TableContents"/>
              <w:bidi w:val="0"/>
              <w:spacing w:before="0" w:after="283"/>
              <w:jc w:val="left"/>
              <w:rPr/>
            </w:pPr>
            <w:r>
              <w:rPr/>
              <w:t>/s/ K. Austin Read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Name: K. Austin Read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Title: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each Investor and the Company have caused their respective signature page to this Agreement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60"/>
        <w:gridCol w:w="365"/>
        <w:gridCol w:w="2585"/>
        <w:gridCol w:w="60"/>
      </w:tblGrid>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b/>
              </w:rPr>
              <w:t>INVESTOR</w:t>
            </w:r>
            <w:r>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Asilia GC Fund QP, LP</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w:t>
            </w:r>
          </w:p>
        </w:tc>
        <w:tc>
          <w:tcPr>
            <w:tcW w:w="2585" w:type="dxa"/>
            <w:tcBorders/>
            <w:vAlign w:val="center"/>
          </w:tcPr>
          <w:p>
            <w:pPr>
              <w:pStyle w:val="TableContents"/>
              <w:bidi w:val="0"/>
              <w:spacing w:before="0" w:after="283"/>
              <w:jc w:val="left"/>
              <w:rPr>
                <w:sz w:val="20"/>
              </w:rPr>
            </w:pPr>
            <w:r>
              <w:rPr>
                <w:sz w:val="20"/>
              </w:rPr>
              <w:t>Ailisa Credit Investments, LLC,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its investment manager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585" w:type="dxa"/>
            <w:tcBorders>
              <w:bottom w:val="single" w:sz="2" w:space="0" w:color="000000"/>
            </w:tcBorders>
            <w:tcMar>
              <w:bottom w:w="28" w:type="dxa"/>
            </w:tcMar>
            <w:vAlign w:val="center"/>
          </w:tcPr>
          <w:p>
            <w:pPr>
              <w:pStyle w:val="TableContents"/>
              <w:bidi w:val="0"/>
              <w:spacing w:before="0" w:after="283"/>
              <w:jc w:val="left"/>
              <w:rPr/>
            </w:pPr>
            <w:r>
              <w:rPr/>
              <w:t>/s/ K. Austin Read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Name: K. Austin Read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Title: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each Investor and the Company have caused their respective signature page to this Agreement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949" w:type="dxa"/>
        <w:jc w:val="left"/>
        <w:tblInd w:w="0" w:type="dxa"/>
        <w:tblLayout w:type="fixed"/>
        <w:tblCellMar>
          <w:top w:w="0" w:type="dxa"/>
          <w:left w:w="0" w:type="dxa"/>
          <w:bottom w:w="0" w:type="dxa"/>
          <w:right w:w="0" w:type="dxa"/>
        </w:tblCellMar>
      </w:tblPr>
      <w:tblGrid>
        <w:gridCol w:w="60"/>
        <w:gridCol w:w="591"/>
        <w:gridCol w:w="3238"/>
        <w:gridCol w:w="60"/>
      </w:tblGrid>
      <w:tr>
        <w:trPr/>
        <w:tc>
          <w:tcPr>
            <w:tcW w:w="60"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b/>
              </w:rPr>
              <w:t>INVESTOR</w:t>
            </w:r>
            <w:r>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32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Nationwide Mutual Insurance Company</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32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32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By:</w:t>
            </w:r>
          </w:p>
        </w:tc>
        <w:tc>
          <w:tcPr>
            <w:tcW w:w="3238" w:type="dxa"/>
            <w:tcBorders>
              <w:bottom w:val="single" w:sz="2" w:space="0" w:color="000000"/>
            </w:tcBorders>
            <w:tcMar>
              <w:bottom w:w="28" w:type="dxa"/>
            </w:tcMar>
            <w:vAlign w:val="center"/>
          </w:tcPr>
          <w:p>
            <w:pPr>
              <w:pStyle w:val="TableContents"/>
              <w:bidi w:val="0"/>
              <w:spacing w:before="0" w:after="283"/>
              <w:jc w:val="left"/>
              <w:rPr/>
            </w:pPr>
            <w:r>
              <w:rPr/>
              <w:t>/s/ Shanna Ottenbriet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Name: Shanna Ottenbriet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Title: Authorized Signatory</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each Investor and the Company have caused their respective signature page to this Agreement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365"/>
        <w:gridCol w:w="3350"/>
        <w:gridCol w:w="60"/>
      </w:tblGrid>
      <w:tr>
        <w:trPr/>
        <w:tc>
          <w:tcPr>
            <w:tcW w:w="60" w:type="dxa"/>
            <w:tcBorders/>
            <w:vAlign w:val="center"/>
          </w:tcPr>
          <w:p>
            <w:pPr>
              <w:pStyle w:val="TableContents"/>
              <w:bidi w:val="0"/>
              <w:spacing w:before="0" w:after="283"/>
              <w:jc w:val="left"/>
              <w:rPr/>
            </w:pPr>
            <w:r>
              <w:rPr/>
              <w:t> </w:t>
            </w:r>
          </w:p>
        </w:tc>
        <w:tc>
          <w:tcPr>
            <w:tcW w:w="3715" w:type="dxa"/>
            <w:gridSpan w:val="2"/>
            <w:tcBorders/>
            <w:vAlign w:val="center"/>
          </w:tcPr>
          <w:p>
            <w:pPr>
              <w:pStyle w:val="TableContents"/>
              <w:bidi w:val="0"/>
              <w:spacing w:before="0" w:after="283"/>
              <w:jc w:val="left"/>
              <w:rPr/>
            </w:pPr>
            <w:r>
              <w:rPr>
                <w:b/>
              </w:rPr>
              <w:t>INVESTOR</w:t>
            </w:r>
            <w:r>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5" w:type="dxa"/>
            <w:gridSpan w:val="2"/>
            <w:tcBorders/>
            <w:vAlign w:val="center"/>
          </w:tcPr>
          <w:p>
            <w:pPr>
              <w:pStyle w:val="TableContents"/>
              <w:bidi w:val="0"/>
              <w:spacing w:before="0" w:after="283"/>
              <w:jc w:val="left"/>
              <w:rPr/>
            </w:pPr>
            <w:r>
              <w:rPr/>
              <w:t>TCW Rescue Financing Fund II LP</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w:t>
            </w:r>
          </w:p>
        </w:tc>
        <w:tc>
          <w:tcPr>
            <w:tcW w:w="3350" w:type="dxa"/>
            <w:tcBorders/>
            <w:vAlign w:val="center"/>
          </w:tcPr>
          <w:p>
            <w:pPr>
              <w:pStyle w:val="TableContents"/>
              <w:bidi w:val="0"/>
              <w:spacing w:before="0" w:after="283"/>
              <w:jc w:val="left"/>
              <w:rPr>
                <w:sz w:val="20"/>
              </w:rPr>
            </w:pPr>
            <w:r>
              <w:rPr>
                <w:sz w:val="20"/>
              </w:rPr>
              <w:t>TCW Asset Management Company LLC,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sz w:val="20"/>
              </w:rPr>
            </w:pPr>
            <w:r>
              <w:rPr>
                <w:sz w:val="20"/>
              </w:rPr>
              <w:t>its Investment Advisor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350" w:type="dxa"/>
            <w:tcBorders>
              <w:bottom w:val="single" w:sz="2" w:space="0" w:color="000000"/>
            </w:tcBorders>
            <w:tcMar>
              <w:bottom w:w="28" w:type="dxa"/>
            </w:tcMar>
            <w:vAlign w:val="center"/>
          </w:tcPr>
          <w:p>
            <w:pPr>
              <w:pStyle w:val="TableContents"/>
              <w:bidi w:val="0"/>
              <w:spacing w:before="0" w:after="283"/>
              <w:jc w:val="left"/>
              <w:rPr/>
            </w:pPr>
            <w:r>
              <w:rPr/>
              <w:t>/s/ Suzanne Grosso</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5" w:type="dxa"/>
            <w:gridSpan w:val="2"/>
            <w:tcBorders/>
            <w:vAlign w:val="center"/>
          </w:tcPr>
          <w:p>
            <w:pPr>
              <w:pStyle w:val="TableContents"/>
              <w:bidi w:val="0"/>
              <w:spacing w:before="0" w:after="283"/>
              <w:jc w:val="left"/>
              <w:rPr/>
            </w:pPr>
            <w:r>
              <w:rPr/>
              <w:t>Name: Suzanne Grosso</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5" w:type="dxa"/>
            <w:gridSpan w:val="2"/>
            <w:tcBorders/>
            <w:vAlign w:val="center"/>
          </w:tcPr>
          <w:p>
            <w:pPr>
              <w:pStyle w:val="TableContents"/>
              <w:bidi w:val="0"/>
              <w:spacing w:before="0" w:after="283"/>
              <w:jc w:val="left"/>
              <w:rPr/>
            </w:pPr>
            <w:r>
              <w:rPr/>
              <w:t>Title: Managing Director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each Investor and the Company have caused their respective signature page to this Agreement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365"/>
        <w:gridCol w:w="3350"/>
        <w:gridCol w:w="60"/>
      </w:tblGrid>
      <w:tr>
        <w:trPr/>
        <w:tc>
          <w:tcPr>
            <w:tcW w:w="60" w:type="dxa"/>
            <w:tcBorders/>
            <w:vAlign w:val="center"/>
          </w:tcPr>
          <w:p>
            <w:pPr>
              <w:pStyle w:val="TableContents"/>
              <w:bidi w:val="0"/>
              <w:spacing w:before="0" w:after="283"/>
              <w:jc w:val="left"/>
              <w:rPr/>
            </w:pPr>
            <w:r>
              <w:rPr/>
              <w:t> </w:t>
            </w:r>
          </w:p>
        </w:tc>
        <w:tc>
          <w:tcPr>
            <w:tcW w:w="3715" w:type="dxa"/>
            <w:gridSpan w:val="2"/>
            <w:tcBorders/>
            <w:vAlign w:val="center"/>
          </w:tcPr>
          <w:p>
            <w:pPr>
              <w:pStyle w:val="TableContents"/>
              <w:bidi w:val="0"/>
              <w:spacing w:before="0" w:after="283"/>
              <w:jc w:val="left"/>
              <w:rPr/>
            </w:pPr>
            <w:r>
              <w:rPr>
                <w:b/>
              </w:rPr>
              <w:t>INVESTOR</w:t>
            </w:r>
            <w:r>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5" w:type="dxa"/>
            <w:gridSpan w:val="2"/>
            <w:tcBorders/>
            <w:vAlign w:val="center"/>
          </w:tcPr>
          <w:p>
            <w:pPr>
              <w:pStyle w:val="TableContents"/>
              <w:bidi w:val="0"/>
              <w:spacing w:before="0" w:after="283"/>
              <w:jc w:val="left"/>
              <w:rPr/>
            </w:pPr>
            <w:r>
              <w:rPr/>
              <w:t>TCW WV Financing LLC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w:t>
            </w:r>
          </w:p>
        </w:tc>
        <w:tc>
          <w:tcPr>
            <w:tcW w:w="3350" w:type="dxa"/>
            <w:tcBorders/>
            <w:vAlign w:val="center"/>
          </w:tcPr>
          <w:p>
            <w:pPr>
              <w:pStyle w:val="TableContents"/>
              <w:bidi w:val="0"/>
              <w:spacing w:before="0" w:after="283"/>
              <w:jc w:val="left"/>
              <w:rPr>
                <w:sz w:val="20"/>
              </w:rPr>
            </w:pPr>
            <w:r>
              <w:rPr>
                <w:sz w:val="20"/>
              </w:rPr>
              <w:t>TCW Asset Management Company LLC,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sz w:val="20"/>
              </w:rPr>
            </w:pPr>
            <w:r>
              <w:rPr>
                <w:sz w:val="20"/>
              </w:rPr>
              <w:t>its Investment Advisor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350" w:type="dxa"/>
            <w:tcBorders>
              <w:bottom w:val="single" w:sz="2" w:space="0" w:color="000000"/>
            </w:tcBorders>
            <w:tcMar>
              <w:bottom w:w="28" w:type="dxa"/>
            </w:tcMar>
            <w:vAlign w:val="center"/>
          </w:tcPr>
          <w:p>
            <w:pPr>
              <w:pStyle w:val="TableContents"/>
              <w:bidi w:val="0"/>
              <w:spacing w:before="0" w:after="283"/>
              <w:jc w:val="left"/>
              <w:rPr/>
            </w:pPr>
            <w:r>
              <w:rPr/>
              <w:t>/s/ Suzanne Grosso</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5" w:type="dxa"/>
            <w:gridSpan w:val="2"/>
            <w:tcBorders/>
            <w:vAlign w:val="center"/>
          </w:tcPr>
          <w:p>
            <w:pPr>
              <w:pStyle w:val="TableContents"/>
              <w:bidi w:val="0"/>
              <w:spacing w:before="0" w:after="283"/>
              <w:jc w:val="left"/>
              <w:rPr/>
            </w:pPr>
            <w:r>
              <w:rPr/>
              <w:t>Name: Suzanne Grosso</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5" w:type="dxa"/>
            <w:gridSpan w:val="2"/>
            <w:tcBorders/>
            <w:vAlign w:val="center"/>
          </w:tcPr>
          <w:p>
            <w:pPr>
              <w:pStyle w:val="TableContents"/>
              <w:bidi w:val="0"/>
              <w:spacing w:before="0" w:after="283"/>
              <w:jc w:val="left"/>
              <w:rPr/>
            </w:pPr>
            <w:r>
              <w:rPr/>
              <w:t>Title: Managing Director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A</w:t>
      </w:r>
      <w:r>
        <w:rPr>
          <w:rFonts w:ascii="Times New Roman" w:hAnsi="Times New Roman"/>
          <w:caps w:val="false"/>
          <w:smallCaps w:val="false"/>
          <w:sz w:val="20"/>
        </w:rPr>
        <w:br/>
      </w:r>
      <w:r>
        <w:rPr>
          <w:rFonts w:ascii="Times New Roman" w:hAnsi="Times New Roman"/>
          <w:b/>
          <w:caps w:val="false"/>
          <w:smallCaps w:val="false"/>
          <w:sz w:val="20"/>
        </w:rPr>
        <w:t>FORM OF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CERTIFICATE OF DESIGNATIONS,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RIGHTS OF SERIES A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ACCURAY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Accuray Incorporated (the “</w:t>
      </w:r>
      <w:r>
        <w:rPr>
          <w:rFonts w:ascii="Times New Roman" w:hAnsi="Times New Roman"/>
          <w:b/>
          <w:caps w:val="false"/>
          <w:smallCaps w:val="false"/>
          <w:sz w:val="20"/>
        </w:rPr>
        <w:t>Company</w:t>
      </w:r>
      <w:r>
        <w:rPr>
          <w:rFonts w:ascii="Times New Roman" w:hAnsi="Times New Roman"/>
          <w:caps w:val="false"/>
          <w:smallCaps w:val="false"/>
          <w:sz w:val="20"/>
        </w:rPr>
        <w:t>”), a corporation organized and existing under the General Corporation Law of the State of Delaware (the “</w:t>
      </w:r>
      <w:r>
        <w:rPr>
          <w:rFonts w:ascii="Times New Roman" w:hAnsi="Times New Roman"/>
          <w:b/>
          <w:caps w:val="false"/>
          <w:smallCaps w:val="false"/>
          <w:sz w:val="20"/>
        </w:rPr>
        <w:t>DGCL</w:t>
      </w:r>
      <w:r>
        <w:rPr>
          <w:rFonts w:ascii="Times New Roman" w:hAnsi="Times New Roman"/>
          <w:caps w:val="false"/>
          <w:smallCaps w:val="false"/>
          <w:sz w:val="20"/>
        </w:rPr>
        <w:t>”), does hereby certify that, pursuant to authority conferred upon the Board of Directors of the Company (the “</w:t>
      </w:r>
      <w:r>
        <w:rPr>
          <w:rFonts w:ascii="Times New Roman" w:hAnsi="Times New Roman"/>
          <w:b/>
          <w:caps w:val="false"/>
          <w:smallCaps w:val="false"/>
          <w:sz w:val="20"/>
        </w:rPr>
        <w:t>Board</w:t>
      </w:r>
      <w:r>
        <w:rPr>
          <w:rFonts w:ascii="Times New Roman" w:hAnsi="Times New Roman"/>
          <w:caps w:val="false"/>
          <w:smallCaps w:val="false"/>
          <w:sz w:val="20"/>
        </w:rPr>
        <w:t>”) by the Amended and Restated Certificate of Incorporation of the Company, and pursuant to the provisions of the DGCL, the Board adopted resolutions (i) designating a series of the Company’s previously authorized preferred stock, par value $0.001 per share, and (ii) providing for the designations,  powers, preferences and rights and the qualifications, limitations or restrictions thereof, of Fifty-Five Thousand (55,000) shares of Series A Convertible Preferred Stock of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RESOLVED, that the Company is authorized to issue Fifty-Five Thousand (55,000) shares of Series A Convertible Preferred Stock, par value $0.001 per share (the “</w:t>
      </w:r>
      <w:r>
        <w:rPr>
          <w:rFonts w:ascii="Times New Roman" w:hAnsi="Times New Roman"/>
          <w:b/>
          <w:caps w:val="false"/>
          <w:smallCaps w:val="false"/>
          <w:sz w:val="20"/>
        </w:rPr>
        <w:t>Series A Preferred Shares</w:t>
      </w:r>
      <w:r>
        <w:rPr>
          <w:rFonts w:ascii="Times New Roman" w:hAnsi="Times New Roman"/>
          <w:caps w:val="false"/>
          <w:smallCaps w:val="false"/>
          <w:sz w:val="20"/>
        </w:rPr>
        <w:t>”), which shall have the following designations, powers, preferences and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7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Ranking</w:t>
            </w:r>
            <w:r>
              <w:rPr>
                <w:rFonts w:ascii="Times New Roman;Times;serif" w:hAnsi="Times New Roman;Times;serif"/>
                <w:caps w:val="false"/>
                <w:smallCaps w:val="false"/>
                <w:sz w:val="20"/>
              </w:rPr>
              <w:t>. The Series A Preferred Shares shall rank senior, prior and superior to all of the Common Stock and any other capital stock of the Company with respect to the preferences as to dividends, distributions and payments upon the liquidation, dissolution and winding up of the Company. The rights of the shares of Common Stock and other capital stock of the Company shall be of junior rank to and subject to the preferences and relative rights of the Series A Preferred Shares. Capitalized terms not defined herein shall have the meaning as set forth in Section 23 below.</w:t>
            </w:r>
          </w:p>
        </w:tc>
      </w:tr>
    </w:tbl>
    <w:p>
      <w:pPr>
        <w:pStyle w:val="TextBody"/>
        <w:bidi w:val="0"/>
        <w:spacing w:before="0" w:after="0"/>
        <w:ind w:left="0" w:right="0" w:hanging="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170"/>
        <w:gridCol w:w="104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Liquidation</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3"/>
        <w:gridCol w:w="9972"/>
      </w:tblGrid>
      <w:tr>
        <w:trPr/>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Preferential Payment to Holders</w:t>
            </w:r>
            <w:r>
              <w:rPr>
                <w:rFonts w:ascii="Times New Roman;Times;serif" w:hAnsi="Times New Roman;Times;serif"/>
                <w:caps w:val="false"/>
                <w:smallCaps w:val="false"/>
                <w:sz w:val="20"/>
              </w:rPr>
              <w:t>. In the event of a Liquidation Event, holders of record of Series A Preferred Shares (each, a “</w:t>
            </w:r>
            <w:r>
              <w:rPr>
                <w:rFonts w:ascii="Times New Roman;Times;serif" w:hAnsi="Times New Roman;Times;serif"/>
                <w:b/>
                <w:caps w:val="false"/>
                <w:smallCaps w:val="false"/>
                <w:sz w:val="20"/>
              </w:rPr>
              <w:t>Holder</w:t>
            </w:r>
            <w:r>
              <w:rPr>
                <w:rFonts w:ascii="Times New Roman;Times;serif" w:hAnsi="Times New Roman;Times;serif"/>
                <w:caps w:val="false"/>
                <w:smallCaps w:val="false"/>
                <w:sz w:val="20"/>
              </w:rPr>
              <w:t>” and collectively, the “</w:t>
            </w:r>
            <w:r>
              <w:rPr>
                <w:rFonts w:ascii="Times New Roman;Times;serif" w:hAnsi="Times New Roman;Times;serif"/>
                <w:b/>
                <w:caps w:val="false"/>
                <w:smallCaps w:val="false"/>
                <w:sz w:val="20"/>
              </w:rPr>
              <w:t>Holders</w:t>
            </w:r>
            <w:r>
              <w:rPr>
                <w:rFonts w:ascii="Times New Roman;Times;serif" w:hAnsi="Times New Roman;Times;serif"/>
                <w:caps w:val="false"/>
                <w:smallCaps w:val="false"/>
                <w:sz w:val="20"/>
              </w:rPr>
              <w:t>”) shall be entitled to receive in cash out of the assets of the Company, whether from capital or from earnings available for distribution to its stockholders (the “</w:t>
            </w:r>
            <w:r>
              <w:rPr>
                <w:rFonts w:ascii="Times New Roman;Times;serif" w:hAnsi="Times New Roman;Times;serif"/>
                <w:b/>
                <w:caps w:val="false"/>
                <w:smallCaps w:val="false"/>
                <w:sz w:val="20"/>
              </w:rPr>
              <w:t>Liquidation Funds</w:t>
            </w:r>
            <w:r>
              <w:rPr>
                <w:rFonts w:ascii="Times New Roman;Times;serif" w:hAnsi="Times New Roman;Times;serif"/>
                <w:caps w:val="false"/>
                <w:smallCaps w:val="false"/>
                <w:sz w:val="20"/>
              </w:rPr>
              <w:t>”) upon such Liquidation Event, but before any amount shall be paid to the holders of any of the capital stock of the Company of any class junior in rank to the Series A Preferred Shares in respect of the preferences as to distributions and payments upon such Liquidation Event (such stock being referred to hereinafter collectively as “</w:t>
            </w:r>
            <w:r>
              <w:rPr>
                <w:rFonts w:ascii="Times New Roman;Times;serif" w:hAnsi="Times New Roman;Times;serif"/>
                <w:b/>
                <w:caps w:val="false"/>
                <w:smallCaps w:val="false"/>
                <w:sz w:val="20"/>
              </w:rPr>
              <w:t>Junior Stock</w:t>
            </w:r>
            <w:r>
              <w:rPr>
                <w:rFonts w:ascii="Times New Roman;Times;serif" w:hAnsi="Times New Roman;Times;serif"/>
                <w:caps w:val="false"/>
                <w:smallCaps w:val="false"/>
                <w:sz w:val="20"/>
              </w:rPr>
              <w:t xml:space="preserve">”), an amount per Series A Preferred Share equal to the greater of (i) 100% of the Accrued Value and (ii) the amount such Holder would have received in respect of such Series A Preferred Share had it been converted into Common Stock pursuant to Section 4 at the then applicable Conversion Rate (as defined in Section 4(b)) immediately prior to such event; </w:t>
            </w:r>
            <w:r>
              <w:rPr>
                <w:rFonts w:ascii="Times New Roman;Times;serif" w:hAnsi="Times New Roman;Times;serif"/>
                <w:caps w:val="false"/>
                <w:smallCaps w:val="false"/>
                <w:sz w:val="20"/>
                <w:u w:val="single"/>
              </w:rPr>
              <w:t>provided</w:t>
            </w:r>
            <w:r>
              <w:rPr>
                <w:rFonts w:ascii="Times New Roman;Times;serif" w:hAnsi="Times New Roman;Times;serif"/>
                <w:caps w:val="false"/>
                <w:smallCaps w:val="false"/>
                <w:sz w:val="20"/>
              </w:rPr>
              <w:t> that, if the Liquidation Funds are insufficient to pay the full amount due to the Holders and holders of shares of other classes or series of preferred stock of the Company, if any, that are of equal rank with the Series A Preferred Shares as to payments of the Liquidation Funds (such stock being referred to hereinafter collectively as “</w:t>
            </w:r>
            <w:r>
              <w:rPr>
                <w:rFonts w:ascii="Times New Roman;Times;serif" w:hAnsi="Times New Roman;Times;serif"/>
                <w:b/>
                <w:caps w:val="false"/>
                <w:smallCaps w:val="false"/>
                <w:sz w:val="20"/>
              </w:rPr>
              <w:t>Pari Passu Stock</w:t>
            </w:r>
            <w:r>
              <w:rPr>
                <w:rFonts w:ascii="Times New Roman;Times;serif" w:hAnsi="Times New Roman;Times;serif"/>
                <w:caps w:val="false"/>
                <w:smallCaps w:val="false"/>
                <w:sz w:val="20"/>
              </w:rPr>
              <w:t>”), if any, then each Holder and each holder of any such Pari Passu Stock shall receive a percentage of the Liquidation Funds equal to the full amount of the Liquidation Funds that would be payable to such Holder as a liquidation preference, in accordance with their respective Certificate of Designations, Preferences and Rights, as a percentage of the full amount of the Liquidation Funds that would be payable to all holders of Series A Preferred Shares and Pari Passu Stock if the Liquidation Funds were sufficient to pay the full amount due to the holders of Series A Preferred Shares and Pari Passu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Distribution of Remaining Assets</w:t>
            </w:r>
            <w:r>
              <w:rPr>
                <w:rFonts w:ascii="Times New Roman;Times;serif" w:hAnsi="Times New Roman;Times;serif"/>
                <w:caps w:val="false"/>
                <w:smallCaps w:val="false"/>
                <w:sz w:val="20"/>
              </w:rPr>
              <w:t>. In the event of a Liquidation Event, after payment of all preferential amounts required to be paid to the Holders pursuant to Section 2(a), the remaining assets of the Company available for distribution to its stockholders shall be distributed among the holders of shares of Junior Stock in accordance with their respective rights and privileges.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170"/>
        <w:gridCol w:w="90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Dividends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7"/>
        <w:gridCol w:w="9968"/>
      </w:tblGrid>
      <w:tr>
        <w:trPr/>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Accruing Dividends</w:t>
            </w:r>
            <w:r>
              <w:rPr>
                <w:rFonts w:ascii="Times New Roman;Times;serif" w:hAnsi="Times New Roman;Times;serif"/>
                <w:caps w:val="false"/>
                <w:smallCaps w:val="false"/>
                <w:sz w:val="20"/>
              </w:rPr>
              <w:t>. From and after the first date of issuance of any Series A Preferred Shares (the “</w:t>
            </w:r>
            <w:r>
              <w:rPr>
                <w:rFonts w:ascii="Times New Roman;Times;serif" w:hAnsi="Times New Roman;Times;serif"/>
                <w:b/>
                <w:caps w:val="false"/>
                <w:smallCaps w:val="false"/>
                <w:sz w:val="20"/>
              </w:rPr>
              <w:t>Issuance Date</w:t>
            </w:r>
            <w:r>
              <w:rPr>
                <w:rFonts w:ascii="Times New Roman;Times;serif" w:hAnsi="Times New Roman;Times;serif"/>
                <w:caps w:val="false"/>
                <w:smallCaps w:val="false"/>
                <w:sz w:val="20"/>
              </w:rPr>
              <w:t>”), the Holders shall be entitled to receive a cumulative preferential dividend (the “</w:t>
            </w:r>
            <w:r>
              <w:rPr>
                <w:rFonts w:ascii="Times New Roman;Times;serif" w:hAnsi="Times New Roman;Times;serif"/>
                <w:b/>
                <w:caps w:val="false"/>
                <w:smallCaps w:val="false"/>
                <w:sz w:val="20"/>
              </w:rPr>
              <w:t>Accruing Dividend</w:t>
            </w:r>
            <w:r>
              <w:rPr>
                <w:rFonts w:ascii="Times New Roman;Times;serif" w:hAnsi="Times New Roman;Times;serif"/>
                <w:caps w:val="false"/>
                <w:smallCaps w:val="false"/>
                <w:sz w:val="20"/>
              </w:rPr>
              <w:t>”) on each Series A Preferred Share, accruing at the rate of eight percent (8%) per annum (the “</w:t>
            </w:r>
            <w:r>
              <w:rPr>
                <w:rFonts w:ascii="Times New Roman;Times;serif" w:hAnsi="Times New Roman;Times;serif"/>
                <w:b/>
                <w:caps w:val="false"/>
                <w:smallCaps w:val="false"/>
                <w:sz w:val="20"/>
              </w:rPr>
              <w:t>Preferential Dividend Rate</w:t>
            </w:r>
            <w:r>
              <w:rPr>
                <w:rFonts w:ascii="Times New Roman;Times;serif" w:hAnsi="Times New Roman;Times;serif"/>
                <w:caps w:val="false"/>
                <w:smallCaps w:val="false"/>
                <w:sz w:val="20"/>
              </w:rPr>
              <w:t>”) of the then-current Stated Value. The Accruing Dividend shall accrue daily from the Issuance Date but shall compound on a quarterly basis, to the extent not paid, on each Dividend Payment Date (i.e., no dividends shall accrue on unpaid dividends unless and until the first Dividend Payment Date for such unpaid dividends has passed), whether or not there are profits, surplus or other funds of the Company legally available for the payment of dividends but shall not be payable until legally permissible, as applicable.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0"/>
        <w:gridCol w:w="9955"/>
      </w:tblGrid>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Payment of Accruing Dividends</w:t>
            </w:r>
            <w:r>
              <w:rPr>
                <w:rFonts w:ascii="Times New Roman;Times;serif" w:hAnsi="Times New Roman;Times;serif"/>
                <w:caps w:val="false"/>
                <w:smallCaps w:val="false"/>
                <w:sz w:val="20"/>
              </w:rPr>
              <w:t>. The Accruing Dividend shall be payable quarterly in arrears for the previous calendar quarter and, at the election of the Board, either (i) be paid in cash out of funds or property legally available therefor under Delaware law, or (ii) accrue and compound, in an amount equal to the Preferential Dividend Rate multiplied by the then-current Stated Value. As of 5:00 p.m., New York City time (the “</w:t>
            </w:r>
            <w:r>
              <w:rPr>
                <w:rFonts w:ascii="Times New Roman;Times;serif" w:hAnsi="Times New Roman;Times;serif"/>
                <w:b/>
                <w:caps w:val="false"/>
                <w:smallCaps w:val="false"/>
                <w:sz w:val="20"/>
              </w:rPr>
              <w:t>Close of Business</w:t>
            </w:r>
            <w:r>
              <w:rPr>
                <w:rFonts w:ascii="Times New Roman;Times;serif" w:hAnsi="Times New Roman;Times;serif"/>
                <w:caps w:val="false"/>
                <w:smallCaps w:val="false"/>
                <w:sz w:val="20"/>
              </w:rPr>
              <w:t>”) on each Dividend Payment Date, the dollar amount of the Accruing Dividend (regardless of whether or not declared) that has accumulated on the Series A Preferred Shares for the previous calendar quarter will, automatically and without any further action by the Company or the Holders, be added, effective immediately before the Close of Business on the related Dividend Payment Date, to the then-current Stated Value of each Series A Preferred Share outstanding as of such time; provided, however, that such addition shall not occur nor be required if, as of the Close of Business on such Dividend Payment Date, the Company, in its sole and absolute discretion, has settled the full amount of such Accruing Dividends in cash pursuant to this Section 3(b).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Restrictions on Dividends</w:t>
            </w:r>
            <w:r>
              <w:rPr>
                <w:rFonts w:ascii="Times New Roman;Times;serif" w:hAnsi="Times New Roman;Times;serif"/>
                <w:caps w:val="false"/>
                <w:smallCaps w:val="false"/>
                <w:sz w:val="20"/>
              </w:rPr>
              <w:t>. The Company shall not, without the affirmative vote of the Required Holders, redeem or repurchase any equity interests ranking junior to the Series A Preferred Shares (other than the stock of employees upon the termination of such employees’ employment with the Company made in the ordinary course of business consistent with past practice) unless the Company has declared and paid in cash all unpaid Accruing Dividends pursuant to this Section 3 on the Series A Preferred Shares that have accrued immediately preceding the date of such redemption or repurchase.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9"/>
        <w:gridCol w:w="9956"/>
      </w:tblGrid>
      <w:tr>
        <w:trPr/>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5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Additional Dividends</w:t>
            </w:r>
            <w:r>
              <w:rPr>
                <w:rFonts w:ascii="Times New Roman;Times;serif" w:hAnsi="Times New Roman;Times;serif"/>
                <w:caps w:val="false"/>
                <w:smallCaps w:val="false"/>
                <w:sz w:val="20"/>
              </w:rPr>
              <w:t>. In addition to Accruing Dividends, from and after the Issuance Date, the Holders shall be entitled to receive such dividends paid and distributions made to the holders of Common Stock to the same extent as if such Holders had converted the Series A Preferred Shares into Common Stock at the Conversion Price and had held such shares of Common Stock on the record date for such dividends and distributions. Payments under the preceding sentence shall be made concurrently with the dividend or distribution to the holders of Common Stock. Following the occurrence of a Liquidation Event and the payment in full to a Holder of its applicable liquidation preference as set forth in Section 2 above, such Holder shall cease to have any rights hereunder to participate in any future dividends or distributions made to the holders of Common Stock. The Company shall not declare or pay any dividends on any Junior Stock or Pari Passu Stock unless the Holders of Series A Preferred Shares then outstanding shall simultaneously receive a dividend on a pro rata basis as if the Series A Preferred Shares had been converted into shares of Common Stock pursuant to Section 4 at the then applicable Conversion Rate (as defined in Section 4(b)) immediately prior to the record date for determining the stockholders eligible to receive such dividends.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Conversion of Series A Preferred Shares</w:t>
            </w:r>
            <w:r>
              <w:rPr>
                <w:rFonts w:ascii="Times New Roman;Times;serif" w:hAnsi="Times New Roman;Times;serif"/>
                <w:caps w:val="false"/>
                <w:smallCaps w:val="false"/>
                <w:sz w:val="20"/>
              </w:rPr>
              <w:t>. Series A Preferred Shares shall be convertible into shares of Common Stock, on the terms and conditions set forth in this Section 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Holder’s Conversion Right</w:t>
            </w:r>
            <w:r>
              <w:rPr>
                <w:rFonts w:ascii="Times New Roman;Times;serif" w:hAnsi="Times New Roman;Times;serif"/>
                <w:caps w:val="false"/>
                <w:smallCaps w:val="false"/>
                <w:sz w:val="20"/>
              </w:rPr>
              <w:t>. At any time or times on or after the Issuance Date, any Holder shall be entitled to convert any whole number of Series A Preferred Shares, plus the amount of any accrued but unpaid dividends (including unpaid Accruing Dividends) per Series A Preferred Share then remaining, into fully paid and nonassessable shares of Common Stock in accordance with this Section 4 at the then applicable Conversion Rate.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Conversion</w:t>
            </w:r>
            <w:r>
              <w:rPr>
                <w:rFonts w:ascii="Times New Roman;Times;serif" w:hAnsi="Times New Roman;Times;serif"/>
                <w:caps w:val="false"/>
                <w:smallCaps w:val="false"/>
                <w:sz w:val="20"/>
              </w:rPr>
              <w:t>. The number of shares of Common Stock issuable upon conversion of each Series A Preferred Share pursuant to Section 4(a) shall be determined according to the following formula (the “</w:t>
            </w:r>
            <w:r>
              <w:rPr>
                <w:rFonts w:ascii="Times New Roman;Times;serif" w:hAnsi="Times New Roman;Times;serif"/>
                <w:b/>
                <w:caps w:val="false"/>
                <w:smallCaps w:val="false"/>
                <w:sz w:val="20"/>
              </w:rPr>
              <w:t>Conversion Rate</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415" w:type="dxa"/>
        <w:jc w:val="left"/>
        <w:tblInd w:w="0" w:type="dxa"/>
        <w:tblLayout w:type="fixed"/>
        <w:tblCellMar>
          <w:top w:w="0" w:type="dxa"/>
          <w:left w:w="0" w:type="dxa"/>
          <w:bottom w:w="28" w:type="dxa"/>
          <w:right w:w="0" w:type="dxa"/>
        </w:tblCellMar>
      </w:tblPr>
      <w:tblGrid>
        <w:gridCol w:w="1415"/>
      </w:tblGrid>
      <w:tr>
        <w:trPr/>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Accrued Value</w:t>
            </w:r>
          </w:p>
        </w:tc>
      </w:tr>
      <w:tr>
        <w:trPr/>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Conversion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No fractional shares of Common Stock are to be issued upon the conversion of any Series A Preferred Share, but rather the number of shares of Common Stock to be issued shall be rounded up to the nearest whole number. The applicable Conversion Rate and Conversion Price from time to time in effect is subject to adjustment as hereinafter provided.</w:t>
      </w:r>
    </w:p>
    <w:p>
      <w:pPr>
        <w:pStyle w:val="TextBody"/>
        <w:bidi w:val="0"/>
        <w:spacing w:before="0" w:after="0"/>
        <w:ind w:left="0" w:right="0" w:hanging="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60"/>
        <w:gridCol w:w="230"/>
        <w:gridCol w:w="93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3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Mechanics of Conversion</w:t>
            </w:r>
            <w:r>
              <w:rPr>
                <w:rFonts w:ascii="Times New Roman;Times;serif" w:hAnsi="Times New Roman;Times;serif"/>
                <w:caps w:val="false"/>
                <w:smallCaps w:val="false"/>
                <w:sz w:val="20"/>
              </w:rPr>
              <w:t>. The conversion of Series A Preferred Shares shall be conducted in the following manner: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Holder’s Delivery Requirements</w:t>
      </w:r>
      <w:r>
        <w:rPr>
          <w:rFonts w:ascii="Times New Roman" w:hAnsi="Times New Roman"/>
          <w:caps w:val="false"/>
          <w:smallCaps w:val="false"/>
          <w:sz w:val="20"/>
        </w:rPr>
        <w:t>. To convert Series A Preferred Shares into shares of Common Stock on any date (a “</w:t>
      </w:r>
      <w:r>
        <w:rPr>
          <w:rFonts w:ascii="Times New Roman" w:hAnsi="Times New Roman"/>
          <w:b/>
          <w:caps w:val="false"/>
          <w:smallCaps w:val="false"/>
          <w:sz w:val="20"/>
        </w:rPr>
        <w:t>Conversion Date</w:t>
      </w:r>
      <w:r>
        <w:rPr>
          <w:rFonts w:ascii="Times New Roman" w:hAnsi="Times New Roman"/>
          <w:caps w:val="false"/>
          <w:smallCaps w:val="false"/>
          <w:sz w:val="20"/>
        </w:rPr>
        <w:t xml:space="preserve">”), a Holder shall (A) transmit by electronic mail (or otherwise personally deliver), for receipt on or prior to 4:59 p.m., New York City Time, on such date, a copy of a properly completed notice of conversion executed by the registered Holder of the Series A Preferred Shares subject to such conversion in the form attached hereto as </w:t>
      </w:r>
      <w:r>
        <w:rPr>
          <w:rFonts w:ascii="Times New Roman" w:hAnsi="Times New Roman"/>
          <w:caps w:val="false"/>
          <w:smallCaps w:val="false"/>
          <w:sz w:val="20"/>
          <w:u w:val="single"/>
        </w:rPr>
        <w:t>Exhibit I</w:t>
      </w:r>
      <w:r>
        <w:rPr>
          <w:rFonts w:ascii="Times New Roman" w:hAnsi="Times New Roman"/>
          <w:caps w:val="false"/>
          <w:smallCaps w:val="false"/>
          <w:sz w:val="20"/>
        </w:rPr>
        <w:t xml:space="preserve"> (the “</w:t>
      </w:r>
      <w:r>
        <w:rPr>
          <w:rFonts w:ascii="Times New Roman" w:hAnsi="Times New Roman"/>
          <w:b/>
          <w:caps w:val="false"/>
          <w:smallCaps w:val="false"/>
          <w:sz w:val="20"/>
        </w:rPr>
        <w:t>Conversion Notice</w:t>
      </w:r>
      <w:r>
        <w:rPr>
          <w:rFonts w:ascii="Times New Roman" w:hAnsi="Times New Roman"/>
          <w:caps w:val="false"/>
          <w:smallCaps w:val="false"/>
          <w:sz w:val="20"/>
        </w:rPr>
        <w:t>”) to the Company and (B) if required by Section 4(c)(vii), but without delaying the Company’s requirement to deliver shares of Common Stock on the applicable Share Delivery Date (as defined below), surrender to a common carrier for delivery to the Company as soon as practicable following such date the original certificates, if any, representing the Series A Preferred Shares being converted (or compliance with the procedures set forth in Section 16) (the “</w:t>
      </w:r>
      <w:r>
        <w:rPr>
          <w:rFonts w:ascii="Times New Roman" w:hAnsi="Times New Roman"/>
          <w:b/>
          <w:caps w:val="false"/>
          <w:smallCaps w:val="false"/>
          <w:sz w:val="20"/>
        </w:rPr>
        <w:t>Series A</w:t>
      </w:r>
      <w:r>
        <w:rPr>
          <w:rFonts w:ascii="Times New Roman" w:hAnsi="Times New Roman"/>
          <w:caps w:val="false"/>
          <w:smallCaps w:val="false"/>
          <w:sz w:val="20"/>
        </w:rPr>
        <w:t xml:space="preserve"> </w:t>
      </w:r>
      <w:r>
        <w:rPr>
          <w:rFonts w:ascii="Times New Roman" w:hAnsi="Times New Roman"/>
          <w:b/>
          <w:caps w:val="false"/>
          <w:smallCaps w:val="false"/>
          <w:sz w:val="20"/>
        </w:rPr>
        <w:t>Preferred Stock Certificates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Company’s Response</w:t>
      </w:r>
      <w:r>
        <w:rPr>
          <w:rFonts w:ascii="Times New Roman" w:hAnsi="Times New Roman"/>
          <w:caps w:val="false"/>
          <w:smallCaps w:val="false"/>
          <w:sz w:val="20"/>
        </w:rPr>
        <w:t>. Upon receipt by the Company of a copy of a Conversion Notice, the Company shall (A) as soon as practicable, but in any event within one (1) Trading Day, send, via electronic mail, a confirmation of receipt of such Conversion Notice to such Holder and the Company’s transfer agent (the “</w:t>
      </w:r>
      <w:r>
        <w:rPr>
          <w:rFonts w:ascii="Times New Roman" w:hAnsi="Times New Roman"/>
          <w:b/>
          <w:caps w:val="false"/>
          <w:smallCaps w:val="false"/>
          <w:sz w:val="20"/>
        </w:rPr>
        <w:t>Transfer Agent</w:t>
      </w:r>
      <w:r>
        <w:rPr>
          <w:rFonts w:ascii="Times New Roman" w:hAnsi="Times New Roman"/>
          <w:caps w:val="false"/>
          <w:smallCaps w:val="false"/>
          <w:sz w:val="20"/>
        </w:rPr>
        <w:t>”), which confirmation shall constitute an instruction to the Transfer Agent to process such Conversion Notice in accordance with the terms herein and (B) on or before the earlier of (I) the number of Trading Days comprising the Standard Settlement Period and (II) the second (2nd) Trading Day, in each case, following the date of receipt by the Company of such Conversion Notice (a “</w:t>
      </w:r>
      <w:r>
        <w:rPr>
          <w:rFonts w:ascii="Times New Roman" w:hAnsi="Times New Roman"/>
          <w:b/>
          <w:caps w:val="false"/>
          <w:smallCaps w:val="false"/>
          <w:sz w:val="20"/>
        </w:rPr>
        <w:t>Share Delivery Date</w:t>
      </w:r>
      <w:r>
        <w:rPr>
          <w:rFonts w:ascii="Times New Roman" w:hAnsi="Times New Roman"/>
          <w:caps w:val="false"/>
          <w:smallCaps w:val="false"/>
          <w:sz w:val="20"/>
        </w:rPr>
        <w:t>”), (1) provided the Transfer Agent is participating in the Depository Trust Company (“</w:t>
      </w:r>
      <w:r>
        <w:rPr>
          <w:rFonts w:ascii="Times New Roman" w:hAnsi="Times New Roman"/>
          <w:b/>
          <w:caps w:val="false"/>
          <w:smallCaps w:val="false"/>
          <w:sz w:val="20"/>
        </w:rPr>
        <w:t>DTC</w:t>
      </w:r>
      <w:r>
        <w:rPr>
          <w:rFonts w:ascii="Times New Roman" w:hAnsi="Times New Roman"/>
          <w:caps w:val="false"/>
          <w:smallCaps w:val="false"/>
          <w:sz w:val="20"/>
        </w:rPr>
        <w:t>”) Fast Automated Securities Transfer Program, credit such aggregate number of shares of Common Stock to which such Holder shall be entitled to such Holder’s or its designee’s balance account with DTC through its Deposit/Withdrawal at Custodian (“</w:t>
      </w:r>
      <w:r>
        <w:rPr>
          <w:rFonts w:ascii="Times New Roman" w:hAnsi="Times New Roman"/>
          <w:b/>
          <w:caps w:val="false"/>
          <w:smallCaps w:val="false"/>
          <w:sz w:val="20"/>
        </w:rPr>
        <w:t>DWAC</w:t>
      </w:r>
      <w:r>
        <w:rPr>
          <w:rFonts w:ascii="Times New Roman" w:hAnsi="Times New Roman"/>
          <w:caps w:val="false"/>
          <w:smallCaps w:val="false"/>
          <w:sz w:val="20"/>
        </w:rPr>
        <w:t>”) system, or (2) if the Transfer Agent is not participating in the DTC Fast Automated Securities Transfer Program, issue and deliver to the address as specified in the Conversion Notice, a certificate (which may be in electronic book entry form), registered in the name of such Holder or its designee, for the number of shares of Common Stock to which such Holder shall be entitled.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Record Holder</w:t>
      </w:r>
      <w:r>
        <w:rPr>
          <w:rFonts w:ascii="Times New Roman" w:hAnsi="Times New Roman"/>
          <w:caps w:val="false"/>
          <w:smallCaps w:val="false"/>
          <w:sz w:val="20"/>
        </w:rPr>
        <w:t>. The Person or Persons entitled to receive the shares of Common Stock issuable upon a conversion of Series A Preferred Shares shall be treated for all purposes as the record holder or holders of such shares of Common Stock on the applicable Conversion Date, irrespective of the date such shares of Common Stock are credited to such Holder’s or its designee’s account with DTC or the date of delivery of the certificates evidencing such shares of Common Stock,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Buy-In</w:t>
      </w:r>
      <w:r>
        <w:rPr>
          <w:rFonts w:ascii="Times New Roman" w:hAnsi="Times New Roman"/>
          <w:caps w:val="false"/>
          <w:smallCaps w:val="false"/>
          <w:sz w:val="20"/>
        </w:rPr>
        <w:t>. If the Company fails, prior to the applicable Share Delivery Date, to either credit shares of Common Stock to such Holder’s or its designee’s account with DTC or deliver the applicable certificate or certificates to such Holder in accordance with Section 4(c)(ii), and if after such Share Delivery Date such Holder is required by its brokerage firm to purchase (in an open market transaction or otherwise), or the Holder’s brokerage firm is required to purchase, shares of Common Stock to deliver in satisfaction of a sale by such Holder of the shares of Common Stock which such Holder was entitled to receive upon the conversion relating to such Share Delivery Date (a “</w:t>
      </w:r>
      <w:r>
        <w:rPr>
          <w:rFonts w:ascii="Times New Roman" w:hAnsi="Times New Roman"/>
          <w:b/>
          <w:caps w:val="false"/>
          <w:smallCaps w:val="false"/>
          <w:sz w:val="20"/>
        </w:rPr>
        <w:t>Buy-In</w:t>
      </w:r>
      <w:r>
        <w:rPr>
          <w:rFonts w:ascii="Times New Roman" w:hAnsi="Times New Roman"/>
          <w:caps w:val="false"/>
          <w:smallCaps w:val="false"/>
          <w:sz w:val="20"/>
        </w:rPr>
        <w:t>”), then the Company shall (A) pay in cash to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(or, if less, the number of shares actually delivered in satisfaction of such sale) multiplied by (2) the actual sale price at which the sell order giving rise to such purchase obligation was executed (including any brokerage commissions) and (B) at the option of such Holder, either reissue (if surrendered) the Series A Preferred Shares equal to the number of Series A Preferred Shares submitted for conversion or deliver to such Holder the number of shares of Common Stock that would have been issued if the Company had timely complied with its delivery requirements. For example, if a Holder purchases shares of Common Stock having a total purchase price of $11,000 to cover a Buy-In with respect to an attempted conversion of Series A Preferred Shares with respect to which the actual sale price (including any brokerage commissions) giving rise to such purchase obligation was a total of $10,000 under clause (A) of the immediately preceding sentence, the Company shall be required to pay such Holder $1,000. The Holder shall provide the Company written notice indicating the amounts payable to such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credit shares of Common Stock to such Holder’s or its designee’s account with DTC or deliver certificates representing shares of Common Stock upon conversion of the Series A Preferred Shares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Partial Liquidated Damages</w:t>
      </w:r>
      <w:r>
        <w:rPr>
          <w:rFonts w:ascii="Times New Roman" w:hAnsi="Times New Roman"/>
          <w:caps w:val="false"/>
          <w:smallCaps w:val="false"/>
          <w:sz w:val="20"/>
        </w:rPr>
        <w:t>. If the Company fails to either credit shares of Common Stock to such Holder’s or its designee’s account with DTC or deliver the applicable certificate or certificates to such Holder in accordance with Section 4(c)(ii) by the Share Delivery Date, the Company shall pay to such Holder, in cash, as liquidated damages and not as a penalty, for each $5,000 of Stated Value of Series A Preferred Shares being converted, $50 per Business Day (increasing to $100 per Business Day on the third Business Day and increasing to $200 per Business Day on the sixth Business Day after such damages begin to accrue) for each Business Day after the Share Delivery Date until such shares of Common Stock are delivered or Holder requests the reissue (if surrendered) of the Series A Preferred Shares. Nothing herein shall limit a Holder’s right to pursue actual damages for the Company’s failure to deliver the shares or pay the cash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Pro Rata Conversion; Disputes</w:t>
      </w:r>
      <w:r>
        <w:rPr>
          <w:rFonts w:ascii="Times New Roman" w:hAnsi="Times New Roman"/>
          <w:caps w:val="false"/>
          <w:smallCaps w:val="false"/>
          <w:sz w:val="20"/>
        </w:rPr>
        <w:t>. In the event the Company receives a Conversion Notice from more than one Holder for the same Conversion Date and the Company can convert some, but not all, of such Series A Preferred Shares, the Company shall convert from each Holder electing to have Series A Preferred Shares converted at such time a pro rata amount of such Holder’s Series A Preferred Shares submitted for conversion based on the number of Series A Preferred Shares submitted for conversion on such date by such Holder relative to the number of Series A Preferred Shares submitted for conversion on such date. In the event of a dispute as to the number of shares of Common Stock issuable to a Holder in connection with a conversion of Series A Preferred Shares, the Company shall issue to such Holder the number of shares of Common Stock not in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w:t>
      </w:r>
      <w:r>
        <w:rPr>
          <w:rFonts w:ascii="Times New Roman" w:hAnsi="Times New Roman"/>
          <w:caps w:val="false"/>
          <w:smallCaps w:val="false"/>
          <w:sz w:val="20"/>
          <w:u w:val="single"/>
        </w:rPr>
        <w:t>Book-Entry</w:t>
      </w:r>
      <w:r>
        <w:rPr>
          <w:rFonts w:ascii="Times New Roman" w:hAnsi="Times New Roman"/>
          <w:caps w:val="false"/>
          <w:smallCaps w:val="false"/>
          <w:sz w:val="20"/>
        </w:rPr>
        <w:t>. Notwithstanding anything to the contrary set forth herein, upon conversion of Series A Preferred Shares in accordance with the terms hereof, to the extent that a Holder has been issued a physical certificate representing the Series A Preferred Shares, a Holder thereof shall not be required to physically surrender the certificate representing the Series A Preferred Shares to the Company unless (A) the full or remaining number of Series A Preferred Shares represented by the certificate are being converted, in which case such Holder shall deliver such stock certificate to the Company as soon as practicable following such conversion or (B) a Holder has provided the Company with prior written notice (which notice may be included in a Conversion Notice) requesting reissuance of Series A Preferred Shares upon physical surrender of any Series A Preferred Shares. Each Holder and the Company shall maintain records showing the number of Series A Preferred Shares so converted and the dates of such conversions or shall use such other method, reasonably satisfactory to the Holders and the Company, so as not to require physical surrender of the certificate representing the Series A Preferred Shares, if any, upon each such conversion. In the event of any dispute or discrepancy, such records of the Company establishing the number of Series A Preferred Shares to which the record holder is entitled shall be controlling and determinative in the absence of manifest error. Notwithstanding the foregoing, if Series A Preferred Shares represented by a physical certificate are converted as aforesaid, a Holder may not transfer the certificate representing the Series A Preferred Shares unless such Holder first physically surrenders the certificate representing the Series A Preferred Shares to the Company, whereupon the Company will forthwith issue and deliver upon the order of such Holder a new certificate of like tenor, registered as such Holder may request, representing in the aggregate the remaining number of Series A Preferred Shares represented by such certificate. A Holder and any assignee, by acceptance of a certificate, acknowledge and agree that, by reason of the provisions of this paragraph, following conversion of any Series A Preferred Shares, the number of Series A Preferred Shares represented by such certificate may be less than the number of Series A Preferred Shares stated on the face thereof. Each certificate for Series A Preferred Shares shall bear the following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ANY TRANSFEREE OF THIS CERTIFICATE SHOULD CAREFULLY REVIEW THE TERMS OF THE COMPANY’S CERTIFICATE OF DESIGNATIONS RELATING TO THE SERIES A PREFERRED SHARES REPRESENTED BY THIS CERTIFICATE, INCLUDING SECTION 4(c)(vii) THEREOF. THE NUMBER OF SERIES A PREFERRED SHARES REPRESENTED BY THIS CERTIFICATE MAY BE LESS THAN THE NUMBER OF SERIES A PREFERRED SHARES STATED ON THE FACE HEREOF PURSUANT TO SECTION 4(c)(vii) OF THE CERTIFICATE OF DESIGNATIONS RELATING TO THE SERIES A PREFERRED SHARES REPRESENTED BY THIS CERTIFICATE.</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60"/>
        <w:gridCol w:w="245"/>
        <w:gridCol w:w="41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Mandatory Conversion at the Company’s Election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General</w:t>
      </w:r>
      <w:r>
        <w:rPr>
          <w:rFonts w:ascii="Times New Roman" w:hAnsi="Times New Roman"/>
          <w:caps w:val="false"/>
          <w:smallCaps w:val="false"/>
          <w:sz w:val="20"/>
        </w:rPr>
        <w:t>. If at any time, or from time to time, from and after the Issuance Date the Closing Sale Price has equaled or exceeded (subject to adjustment for any stock dividend, stock split, stock combination, reclassification or other similar transaction during the Mandatory Conversion Measuring Period) the Conversion Price for at least twenty (20) of any thirty (30) consecutive Trading Days (a “</w:t>
      </w:r>
      <w:r>
        <w:rPr>
          <w:rFonts w:ascii="Times New Roman" w:hAnsi="Times New Roman"/>
          <w:b/>
          <w:caps w:val="false"/>
          <w:smallCaps w:val="false"/>
          <w:sz w:val="20"/>
        </w:rPr>
        <w:t>Mandatory Conversion Measuring Period</w:t>
      </w:r>
      <w:r>
        <w:rPr>
          <w:rFonts w:ascii="Times New Roman" w:hAnsi="Times New Roman"/>
          <w:caps w:val="false"/>
          <w:smallCaps w:val="false"/>
          <w:sz w:val="20"/>
        </w:rPr>
        <w:t>”) immediately preceding the date the Company delivers to the applicable Holders of Series A Preferred Shares a mandatory conversion notice (a “</w:t>
      </w:r>
      <w:r>
        <w:rPr>
          <w:rFonts w:ascii="Times New Roman" w:hAnsi="Times New Roman"/>
          <w:b/>
          <w:caps w:val="false"/>
          <w:smallCaps w:val="false"/>
          <w:sz w:val="20"/>
        </w:rPr>
        <w:t>Mandatory Conversion Notice</w:t>
      </w:r>
      <w:r>
        <w:rPr>
          <w:rFonts w:ascii="Times New Roman" w:hAnsi="Times New Roman"/>
          <w:caps w:val="false"/>
          <w:smallCaps w:val="false"/>
          <w:sz w:val="20"/>
        </w:rPr>
        <w:t>”), the number of Series A Preferred Shares specified in the Mandatory Conversion Notice shall automatically convert on the Mandatory Conversion Date into a number of shares of Common Stock equal to the Accrued Value per Series A Preferred Share, divided by the Conversion Price then in effect (a “</w:t>
      </w:r>
      <w:r>
        <w:rPr>
          <w:rFonts w:ascii="Times New Roman" w:hAnsi="Times New Roman"/>
          <w:b/>
          <w:caps w:val="false"/>
          <w:smallCaps w:val="false"/>
          <w:sz w:val="20"/>
        </w:rPr>
        <w:t>Mandatory Conversion</w:t>
      </w:r>
      <w:r>
        <w:rPr>
          <w:rFonts w:ascii="Times New Roman" w:hAnsi="Times New Roman"/>
          <w:caps w:val="false"/>
          <w:smallCaps w:val="false"/>
          <w:sz w:val="20"/>
        </w:rPr>
        <w:t>”). The Company may exercise its right to require conversion under this Section 4(d) by delivering a Mandatory Conversion Notice within not more than one (1) Trading Day following the end of such Mandatory Conversion Measuring Period (the date all Holders received (or, in accordance with Section 9(f) of the Securities Purchase Agreement, are deemed to have received) such notice is referred to as a “</w:t>
      </w:r>
      <w:r>
        <w:rPr>
          <w:rFonts w:ascii="Times New Roman" w:hAnsi="Times New Roman"/>
          <w:b/>
          <w:caps w:val="false"/>
          <w:smallCaps w:val="false"/>
          <w:sz w:val="20"/>
        </w:rPr>
        <w:t>Mandatory Conversion Notice Date</w:t>
      </w:r>
      <w:r>
        <w:rPr>
          <w:rFonts w:ascii="Times New Roman" w:hAnsi="Times New Roman"/>
          <w:caps w:val="false"/>
          <w:smallCaps w:val="false"/>
          <w:sz w:val="20"/>
        </w:rPr>
        <w:t>”). Each Mandatory Conversion Notice shall be irrevocable. Each Mandatory Conversion Notice shall state (A) the Trading Day on which the applicable Mandatory Conversion shall occur, which Trading Day shall be the earlier of (I) the number of Trading Days comprising the Standard Settlement Period and (II) the second (2nd) Trading Day, in each case, following the applicable Mandatory Conversion Notice Date (a “</w:t>
      </w:r>
      <w:r>
        <w:rPr>
          <w:rFonts w:ascii="Times New Roman" w:hAnsi="Times New Roman"/>
          <w:b/>
          <w:caps w:val="false"/>
          <w:smallCaps w:val="false"/>
          <w:sz w:val="20"/>
        </w:rPr>
        <w:t>Mandatory Conversion Date</w:t>
      </w:r>
      <w:r>
        <w:rPr>
          <w:rFonts w:ascii="Times New Roman" w:hAnsi="Times New Roman"/>
          <w:caps w:val="false"/>
          <w:smallCaps w:val="false"/>
          <w:sz w:val="20"/>
        </w:rPr>
        <w:t>”); (B) the aggregate number of Series A Preferred Shares which the Company has elected to be subject to such Mandatory Conversion from such Holder and all other Holders pursuant to this Section 4(d); and (C) the number of shares of Common Stock to be issued to such Holder on the applicable Mandatory Conversion Date. Notwithstanding anything to the contrary in this Section 4(d), until the applicable Mandatory Conversion has occurred, the Series A Preferred Shares subject to the Mandatory Conversion may be converted, in whole or in part, by a Holder into shares of Common Stock pursuant to Section 4(c). All Series A Preferred Shares converted by a Holder after a Mandatory Conversion Notice Date but prior to the related Mandatory Conversion Date shall reduce the number of Series A Preferred Shares required to be converted on the related Mandatory Conversion Date, unless such Holder otherwise indicates in a Conversion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Pro Rata Conversion Requirement</w:t>
      </w:r>
      <w:r>
        <w:rPr>
          <w:rFonts w:ascii="Times New Roman" w:hAnsi="Times New Roman"/>
          <w:caps w:val="false"/>
          <w:smallCaps w:val="false"/>
          <w:sz w:val="20"/>
        </w:rPr>
        <w:t>. If the Company elects to cause a Mandatory Conversion pursuant to Section 4(d)(i), then it must simultaneously take the same action in the same proportion with respect to all Series A Preferred Shares. If the Company elects a Mandatory Conversion of the Series A Preferred Shares pursuant to Section 4(d)(i) with respect to less than all of the Series A Preferred Shares then outstanding, then the Company shall require conversion of a number of Series A Preferred Shares from each Holder equal to the product of (A) the aggregate number of Series A Preferred Shares which the Company has elected to cause to be converted pursuant to Section 4(d)(i), multiplied by (B) the fraction, the numerator of which is the sum of the aggregate number of Series A Preferred Shares then held by such Holder and the denominator of which is the aggregate number of Series A Preferred Shares then-outstanding.</w:t>
      </w:r>
    </w:p>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60"/>
        <w:gridCol w:w="230"/>
        <w:gridCol w:w="114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114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[RESERVED]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99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Transfer Taxes</w:t>
            </w:r>
            <w:r>
              <w:rPr>
                <w:rFonts w:ascii="Times New Roman" w:hAnsi="Times New Roman"/>
                <w:caps w:val="false"/>
                <w:smallCaps w:val="false"/>
                <w:sz w:val="20"/>
              </w:rPr>
              <w:t>. The issuance of shares of the Common Stock on conversion of the Series A Preferred Shares shall be made without charge to the Holders for any documentary stamp or similar taxes that may be payable in respect of the issue or delivery of such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Adjustments to Conversion Price</w:t>
            </w:r>
            <w:r>
              <w:rPr>
                <w:rFonts w:ascii="Times New Roman" w:hAnsi="Times New Roman"/>
                <w:caps w:val="false"/>
                <w:smallCaps w:val="false"/>
                <w:sz w:val="20"/>
              </w:rPr>
              <w:t>. The Conversion Price will be subject to adjustment from time to time as provided in this Section 4(g).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Voluntary Adjustment By Company</w:t>
      </w:r>
      <w:r>
        <w:rPr>
          <w:rFonts w:ascii="Times New Roman" w:hAnsi="Times New Roman"/>
          <w:caps w:val="false"/>
          <w:smallCaps w:val="false"/>
          <w:sz w:val="20"/>
        </w:rPr>
        <w:t>. The Company may at any time, with the prior written consent of the Required Holders, reduce the then current Conversion Price to any amount and for any period of time deemed appropriate by the Board.</w:t>
      </w:r>
      <w:r>
        <w:rPr>
          <w:rFonts w:ascii="Times New Roman" w:hAnsi="Times New Roman"/>
          <w:caps w:val="false"/>
          <w:smallCaps w:val="false"/>
          <w:sz w:val="20"/>
          <w:u w:val="single"/>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Adjustment of Conversion Price upon Subdivision or Combination of Common Stock</w:t>
      </w:r>
      <w:r>
        <w:rPr>
          <w:rFonts w:ascii="Times New Roman" w:hAnsi="Times New Roman"/>
          <w:caps w:val="false"/>
          <w:smallCaps w:val="false"/>
          <w:sz w:val="20"/>
        </w:rPr>
        <w:t>. If the Company at any time on or after the Issuance Date subdivides (by any stock split, stock dividend, recapitalization or otherwise) one or more classes of its outstanding shares of Common Stock into a greater number of shares, the Conversion Price in effect immediately prior to such subdivision will be proportionately reduced. If the Company at any time on or after the Issuance Date combines (by combination, reverse stock split or otherwise) one or more classes of its outstanding shares of Common Stock into a smaller number of shares, the Conversion Price in effect immediately prior to such combination will be proportionately increased. Any adjustment under this Section 4(g)(ii) shall become effective at the close of business on the date the subdivision or combination becomes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Other Events</w:t>
      </w:r>
      <w:r>
        <w:rPr>
          <w:rFonts w:ascii="Times New Roman" w:hAnsi="Times New Roman"/>
          <w:caps w:val="false"/>
          <w:smallCaps w:val="false"/>
          <w:sz w:val="20"/>
        </w:rPr>
        <w:t xml:space="preserve">. If any event occurs of the type contemplated by the provisions of this Section 4(g) but not expressly provided for by such provisions (including, without limitation, the granting of stock appreciation rights, phantom stock rights or other rights with equity features), then the Board will make an appropriate adjustment in the Conversion Price, as mutually determined by the Board and the Required Holders, so as to protect the rights of the Holders;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such adjustment pursuant to this Section 4(g)(iii) will increase the Conversion Price as otherwise determined pursuant to this Section 4(g).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Calculations</w:t>
      </w:r>
      <w:r>
        <w:rPr>
          <w:rFonts w:ascii="Times New Roman" w:hAnsi="Times New Roman"/>
          <w:caps w:val="false"/>
          <w:smallCaps w:val="false"/>
          <w:sz w:val="20"/>
        </w:rPr>
        <w:t>. All calculations under this Section 4(g) shall be made to the nearest cent.</w:t>
      </w:r>
    </w:p>
    <w:p>
      <w:pPr>
        <w:pStyle w:val="TextBody"/>
        <w:bidi w:val="0"/>
        <w:spacing w:before="0" w:after="0"/>
        <w:ind w:left="0" w:right="0" w:hanging="0"/>
        <w:jc w:val="left"/>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60"/>
        <w:gridCol w:w="245"/>
        <w:gridCol w:w="68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6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Notices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Promptly upon any adjustment of the Conversion Price pursuant to Section 4(g), the Company will give written notice thereof to each Holder, setting forth in reasonable detail, and certifying, the calculation of such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The Company will give written notice to each Holder at least ten (10) Business Days prior to the date on which the Company closes its books or takes a record (A) with respect to any dividend or distribution upon the Common Stock, (B) with respect to any pro rata subscription offer to holders of Common Stock or (C) for determining rights to vote with respect to any Liquidation Event, provided that such information shall be made known to the public prior to or in conjunction with such notice being provided to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The Company will also give written notice to each Holder at least ten (10) Business Days prior to the date on which any Liquidation Event will take place;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information shall be made known to the public prior to or in conjunction with such notice being provided to such Holder.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2"/>
        <w:gridCol w:w="9993"/>
      </w:tblGrid>
      <w:tr>
        <w:trPr/>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9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Pre-Delivery of Common Stock</w:t>
            </w:r>
            <w:r>
              <w:rPr>
                <w:rFonts w:ascii="Times New Roman" w:hAnsi="Times New Roman"/>
                <w:caps w:val="false"/>
                <w:smallCaps w:val="false"/>
                <w:sz w:val="20"/>
              </w:rPr>
              <w:t>. Notwithstanding anything to the contrary herein, with the prior written consent of a Holder, the Company may at any time or from time to time deliver shares of Common Stock to such Holder and such shares of Common Stock (as adjusted for any stock dividend, stock split, stock combination, reclassification or similar transaction occurring after the delivery thereof to such Holder) shall be used to offset any requirement thereafter to deliver shares of Common Stock hereunder to such Holder.</w:t>
            </w:r>
          </w:p>
        </w:tc>
      </w:tr>
    </w:tbl>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170"/>
        <w:gridCol w:w="75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75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Redemption</w:t>
            </w:r>
            <w:r>
              <w:rPr>
                <w:rFonts w:ascii="Times New Roman;Times;serif" w:hAnsi="Times New Roman;Times;serif"/>
                <w:caps w:val="false"/>
                <w:smallCaps w:val="false"/>
                <w:sz w:val="20"/>
              </w:rPr>
              <w:t>. The Company may not redeem any of the outstanding Series A Preferred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100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Purchase Rights</w:t>
            </w:r>
            <w:r>
              <w:rPr>
                <w:rFonts w:ascii="Times New Roman;Times;serif" w:hAnsi="Times New Roman;Times;serif"/>
                <w:caps w:val="false"/>
                <w:smallCaps w:val="false"/>
                <w:sz w:val="20"/>
              </w:rPr>
              <w:t>.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caps w:val="false"/>
                <w:smallCaps w:val="false"/>
                <w:sz w:val="20"/>
              </w:rPr>
              <w:t>Purchase Rights</w:t>
            </w:r>
            <w:r>
              <w:rPr>
                <w:rFonts w:ascii="Times New Roman;Times;serif" w:hAnsi="Times New Roman;Times;serif"/>
                <w:caps w:val="false"/>
                <w:smallCaps w:val="false"/>
                <w:sz w:val="20"/>
              </w:rPr>
              <w:t>”), then each Holder will be entitled to acquire, upon the terms applicable to such Purchase Rights, the aggregate Purchase Rights which such Holder could have acquired if such Holder had held the number of shares of Common Stock acquirable upon complete conversion of the Series A Preferred Shares (without taking into account any limitations or restrictions on the convertibility of the Series A Preferred Shares) immediately before the date on which a record is taken for the grant, issuance or sale of such Purchase Rights, or, if no such record is taken, the date as of which the record holders of Common Stock are to be determined for the grant, issue or sale of such Purchase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990" w:type="dxa"/>
        <w:jc w:val="left"/>
        <w:tblInd w:w="0" w:type="dxa"/>
        <w:tblLayout w:type="fixed"/>
        <w:tblCellMar>
          <w:top w:w="0" w:type="dxa"/>
          <w:left w:w="0" w:type="dxa"/>
          <w:bottom w:w="0" w:type="dxa"/>
          <w:right w:w="0" w:type="dxa"/>
        </w:tblCellMar>
      </w:tblPr>
      <w:tblGrid>
        <w:gridCol w:w="170"/>
        <w:gridCol w:w="18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1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Reservation of Shares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Required Reserve</w:t>
            </w:r>
            <w:r>
              <w:rPr>
                <w:rFonts w:ascii="Times New Roman" w:hAnsi="Times New Roman"/>
                <w:caps w:val="false"/>
                <w:smallCaps w:val="false"/>
                <w:sz w:val="20"/>
              </w:rPr>
              <w:t xml:space="preserve">. The Company shall have sufficient authorized and unissued shares of Common Stock for each then-outstanding Series A Preferred Share equal to 100% of the number of shares of Common Stock necessary to effect the conversion of such Series A Preferred Share at the then applicable Conversion Rate. The Company shall, so long as any of the Series A Preferred Shares are outstanding, take all reasonable action necessary to reserve and keep available out of its authorized and unissued Common Stock, solely for the purpose of effecting the conversions of the Series A Preferred Shares, such number of shares of Common Stock as shall from time to time be necessary to effect the conversion of all of the Series A Preferred Shares then outstanding (with the actions set forth in Section 7(b) being deemed reasonable and necessary); </w:t>
            </w:r>
            <w:r>
              <w:rPr>
                <w:rFonts w:ascii="Times New Roman" w:hAnsi="Times New Roman"/>
                <w:caps w:val="false"/>
                <w:smallCaps w:val="false"/>
                <w:sz w:val="20"/>
                <w:u w:val="single"/>
              </w:rPr>
              <w:t>provided</w:t>
            </w:r>
            <w:r>
              <w:rPr>
                <w:rFonts w:ascii="Times New Roman" w:hAnsi="Times New Roman"/>
                <w:caps w:val="false"/>
                <w:smallCaps w:val="false"/>
                <w:sz w:val="20"/>
              </w:rPr>
              <w:t> that at no time shall the number of shares of Common Stock so reserved be less than 100% of the number of shares of Common Stock for which the Series A Preferred Shares are at any time convertible (the “</w:t>
            </w:r>
            <w:r>
              <w:rPr>
                <w:rFonts w:ascii="Times New Roman" w:hAnsi="Times New Roman"/>
                <w:b/>
                <w:caps w:val="false"/>
                <w:smallCaps w:val="false"/>
                <w:sz w:val="20"/>
              </w:rPr>
              <w:t>Required Reserve Amount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Insufficient Authorized Shares</w:t>
            </w:r>
            <w:r>
              <w:rPr>
                <w:rFonts w:ascii="Times New Roman" w:hAnsi="Times New Roman"/>
                <w:caps w:val="false"/>
                <w:smallCaps w:val="false"/>
                <w:sz w:val="20"/>
              </w:rPr>
              <w:t>. If at any time while any of the Series A Preferred Shares remain outstanding the Company does not have a sufficient number of authorized and unreserved shares of Common Stock to satisfy its obligation to reserve for issuance upon conversion of the Series A Preferred Shares at least a number of shares of Common Stock equal to the Required Reserve Amount (an “</w:t>
            </w:r>
            <w:r>
              <w:rPr>
                <w:rFonts w:ascii="Times New Roman" w:hAnsi="Times New Roman"/>
                <w:b/>
                <w:caps w:val="false"/>
                <w:smallCaps w:val="false"/>
                <w:sz w:val="20"/>
              </w:rPr>
              <w:t>Authorized Share Failure</w:t>
            </w:r>
            <w:r>
              <w:rPr>
                <w:rFonts w:ascii="Times New Roman" w:hAnsi="Times New Roman"/>
                <w:caps w:val="false"/>
                <w:smallCaps w:val="false"/>
                <w:sz w:val="20"/>
              </w:rPr>
              <w:t>”), then the Company shall promptly take all reasonable action necessary to increase the Company’s authorized shares of Common Stock to an amount sufficient to allow the Company to reserve the Required Reserve Amount for the Series A Preferred Shares then outstanding (with the actions set forth in this Section 7(b) being deemed reasonable and necessary).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the Board to recommend to the stockholders that they approve such proposal. Notwithstanding the foregoing, if at any such time of an Authorized Share Failure, the Company is able to obtain the written consent of a majority of the shares of its issued and outstanding Common Stock to approve the increase in the number of authorized shares of Common Stock, the Company may satisfy this obligation by obtaining such consent and submitting for filing with the SEC an Information Statement on Schedule 14C.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100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Voting Rights</w:t>
            </w:r>
            <w:r>
              <w:rPr>
                <w:rFonts w:ascii="Times New Roman;Times;serif" w:hAnsi="Times New Roman;Times;serif"/>
                <w:caps w:val="false"/>
                <w:smallCaps w:val="false"/>
                <w:sz w:val="20"/>
              </w:rPr>
              <w:t>. Except as required by applicable law and set forth in this Certificate of Designations, the Series A Preferred Shares shall not have any voting rights.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1007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Equal Treatment of Holders</w:t>
            </w:r>
            <w:r>
              <w:rPr>
                <w:rFonts w:ascii="Times New Roman;Times;serif" w:hAnsi="Times New Roman;Times;serif"/>
                <w:caps w:val="false"/>
                <w:smallCaps w:val="false"/>
                <w:sz w:val="20"/>
              </w:rPr>
              <w:t>. No consideration shall be offered or paid to any of the Holders to amend or waive or modify any provision of the Series A Preferred Shares, unless the same consideration (other than the reimbursement of legal fees) is also offered to all of the Holders. This provision constitutes a separate right granted to each of the Holders by the Company and shall not in any way be construed as the Holders acting in concert or as a group with respect to the purchase, disposition or voting of securities or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995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Negative Covenants</w:t>
            </w:r>
            <w:r>
              <w:rPr>
                <w:rFonts w:ascii="Times New Roman;Times;serif" w:hAnsi="Times New Roman;Times;serif"/>
                <w:caps w:val="false"/>
                <w:smallCaps w:val="false"/>
                <w:sz w:val="20"/>
              </w:rPr>
              <w:t>. Until all of the Series A Preferred Shares have been converted, repurchased or otherwise satisfied in accordance with their terms, the Company shall not, and the Company shall not permit any of its Subsidiaries to, without the prior written consent of the Required Holders, directly or indirectly: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6"/>
        <w:gridCol w:w="9959"/>
      </w:tblGrid>
      <w:tr>
        <w:trPr/>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create (by reclassification or otherwise), or authorize the creation of, or issue or obligate itself to issue additional or other capital stock or securities exchangeable for or convertible or exercisable into capital stock that is Pari Passu Stock or ranks senior to the Series A Preferred Shares in respect of the preferences as to distributions, the payment of dividends and payments upon a Liquidation Event;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increase or decrease the authorized number of directors constituting the Board, or, unless otherwise approved by at least one of the Preferred Directors (as defined in the Securities Purchase Agreement), change the composition or charter of any committee of the Board if such change would alter, impair or impact the participation rights of any Preferred Directors; 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820" w:type="dxa"/>
        <w:jc w:val="left"/>
        <w:tblInd w:w="0" w:type="dxa"/>
        <w:tblLayout w:type="fixed"/>
        <w:tblCellMar>
          <w:top w:w="0" w:type="dxa"/>
          <w:left w:w="0" w:type="dxa"/>
          <w:bottom w:w="0" w:type="dxa"/>
          <w:right w:w="0" w:type="dxa"/>
        </w:tblCellMar>
      </w:tblPr>
      <w:tblGrid>
        <w:gridCol w:w="60"/>
        <w:gridCol w:w="230"/>
        <w:gridCol w:w="3530"/>
      </w:tblGrid>
      <w:tr>
        <w:trPr/>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3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agree or commit to do any of the foregoing.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99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Vote to Change the Terms of or Issue Series A Preferred Shares.</w:t>
            </w:r>
            <w:r>
              <w:rPr>
                <w:rFonts w:ascii="Times New Roman;Times;serif" w:hAnsi="Times New Roman;Times;serif"/>
                <w:caps w:val="false"/>
                <w:smallCaps w:val="false"/>
                <w:sz w:val="20"/>
              </w:rPr>
              <w:t xml:space="preserve"> In addition to any other rights provided by law, except where the vote or written consent of the holders of a greater number of shares is required by law or by another provision of the Amended and Restated Certificate of Incorporation, the affirmative vote at a meeting duly called for such purpose or the written consent without a meeting of the Required Holders, voting together as a single class, shall be required before the Company may: (a) amend, alter or repeal any provision of, or add any provision to, the Amended and Restated Certificate of Incorporation or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Preferred Shares, regardless of whether any such action shall be by means of amendment to the Amended and Restated Certificate of Incorporation or by merger, consolidation or otherwise, other than to effect the Reverse Stock Split (as defined in the Securities Purchase Agreement); (b) increase or decrease the authorized number of shares of Series A Preferred Shares; (c) amend or waive any provision of the Certificate of Designations with respect to the Series A Preferred Shares or (d) circumvent a right of the Series A Preferred Shares; </w:t>
            </w:r>
            <w:r>
              <w:rPr>
                <w:rFonts w:ascii="Times New Roman;Times;serif" w:hAnsi="Times New Roman;Times;serif"/>
                <w:caps w:val="false"/>
                <w:smallCaps w:val="false"/>
                <w:sz w:val="20"/>
                <w:u w:val="single"/>
              </w:rPr>
              <w:t>provided</w:t>
            </w:r>
            <w:r>
              <w:rPr>
                <w:rFonts w:ascii="Times New Roman;Times;serif" w:hAnsi="Times New Roman;Times;serif"/>
                <w:caps w:val="false"/>
                <w:smallCaps w:val="false"/>
                <w:sz w:val="20"/>
              </w:rPr>
              <w:t xml:space="preserve">, </w:t>
            </w:r>
            <w:r>
              <w:rPr>
                <w:rFonts w:ascii="Times New Roman;Times;serif" w:hAnsi="Times New Roman;Times;serif"/>
                <w:caps w:val="false"/>
                <w:smallCaps w:val="false"/>
                <w:sz w:val="20"/>
                <w:u w:val="single"/>
              </w:rPr>
              <w:t>further</w:t>
            </w:r>
            <w:r>
              <w:rPr>
                <w:rFonts w:ascii="Times New Roman;Times;serif" w:hAnsi="Times New Roman;Times;serif"/>
                <w:caps w:val="false"/>
                <w:smallCaps w:val="false"/>
                <w:sz w:val="20"/>
              </w:rPr>
              <w:t>, that any such amendment or waiver that complies with the foregoing but that disproportionately, materially and adversely affects the rights and obligations of any Holder relative to the comparable rights and obligations of the other Holders shall require the prior written consent of such adversely affected Holder. Any amendment or waiver to this Certificate of Designations made in conformity with the provisions of this Section 11 shall be binding on all Holders. No such amendment or waiver shall be effective to the extent that it applies to less than all of the Holders.</w:t>
            </w:r>
          </w:p>
        </w:tc>
      </w:tr>
    </w:tbl>
    <w:p>
      <w:pPr>
        <w:pStyle w:val="TextBody"/>
        <w:bidi w:val="0"/>
        <w:spacing w:before="0" w:after="0"/>
        <w:ind w:left="0"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75"/>
        <w:gridCol w:w="159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15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General Provisions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addition to the above provisions with respect to Series A Preferred Shares, such Series A Preferred Shares shall be subject to and be entitled to the benefit of the provisions set forth in the Amended and Restated Certificate of Incorporation of the Company with respect to preferred stock of the Company generally;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the event of any conflict between such provisions, the provisions set forth in this Certificate of Designations shall control.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4"/>
        <w:gridCol w:w="9921"/>
      </w:tblGrid>
      <w:tr>
        <w:trPr/>
        <w:tc>
          <w:tcPr>
            <w:tcW w:w="60" w:type="dxa"/>
            <w:tcBorders/>
            <w:vAlign w:val="center"/>
          </w:tcPr>
          <w:p>
            <w:pPr>
              <w:pStyle w:val="TableContents"/>
              <w:bidi w:val="0"/>
              <w:spacing w:before="0" w:after="283"/>
              <w:jc w:val="both"/>
              <w:rPr/>
            </w:pPr>
            <w:r>
              <w:rPr/>
              <w:t> </w:t>
            </w:r>
          </w:p>
        </w:tc>
        <w:tc>
          <w:tcPr>
            <w:tcW w:w="22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2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Series A Preferred Shares which are converted, repurchased or otherwise satisfied shall be automatically and immediately cancelled and shall not be reissued, sold or transferred.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Whenever notice is required to be given under this Certificate of Designations, unless otherwise provided herein, such notice shall be given in accordance with Section 9(f) of the Securities Purchase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0"/>
        <w:gridCol w:w="9955"/>
      </w:tblGrid>
      <w:tr>
        <w:trPr/>
        <w:tc>
          <w:tcPr>
            <w:tcW w:w="60" w:type="dxa"/>
            <w:tcBorders/>
            <w:vAlign w:val="center"/>
          </w:tcPr>
          <w:p>
            <w:pPr>
              <w:pStyle w:val="TableContents"/>
              <w:bidi w:val="0"/>
              <w:spacing w:before="0" w:after="283"/>
              <w:jc w:val="both"/>
              <w:rPr/>
            </w:pPr>
            <w:r>
              <w:rPr/>
              <w:t> </w:t>
            </w:r>
          </w:p>
        </w:tc>
        <w:tc>
          <w:tcPr>
            <w:tcW w:w="1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Whenever any payment of cash is to be made by the Company to any Person pursuant to this Certificate of Designations, such payment shall be made in lawful money of the United States of America by a check drawn on the account of the Company and sent via overnight courier service to such Person at such address as previously provided to the Company in writing; </w:t>
            </w:r>
            <w:r>
              <w:rPr>
                <w:rFonts w:ascii="Times New Roman" w:hAnsi="Times New Roman"/>
                <w:caps w:val="false"/>
                <w:smallCaps w:val="false"/>
                <w:sz w:val="20"/>
                <w:u w:val="single"/>
              </w:rPr>
              <w:t>provided</w:t>
            </w:r>
            <w:r>
              <w:rPr>
                <w:rFonts w:ascii="Times New Roman" w:hAnsi="Times New Roman"/>
                <w:caps w:val="false"/>
                <w:smallCaps w:val="false"/>
                <w:sz w:val="20"/>
              </w:rPr>
              <w:t>, that a Holder may elect to receive a payment of cash via wire transfer of immediately available funds by providing the Company with no less than two (2) Business Days prior written notice setting out such request and such Holder’s wire transfer instructions. Whenever any amount expressed to be due by the terms of this Certificate of Designations is due on any day which is not a Business Day, the same shall instead be due on the next succeeding day which is a Business Day. Any amounts due under the Transaction Documents which is not paid within three (3) Business Days of the time such amount is due shall result in a late charge being incurred and payable by the Company in an amount equal to interest on such amount at the rate of twelve percent (12.0%) per annum from the date such amount was due until the same is paid in full.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994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Governing Law</w:t>
            </w:r>
            <w:r>
              <w:rPr>
                <w:rFonts w:ascii="Times New Roman;Times;serif" w:hAnsi="Times New Roman;Times;serif"/>
                <w:caps w:val="false"/>
                <w:smallCaps w:val="false"/>
                <w:sz w:val="20"/>
              </w:rPr>
              <w:t>. This Certificate of Designations shall be governed by, and construed in accordance with, the laws of the State of Delaware, without giving effect to conflict of law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99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Consent to Jurisdiction; Service of Process and Venue</w:t>
            </w:r>
            <w:r>
              <w:rPr>
                <w:rFonts w:ascii="Times New Roman;Times;serif" w:hAnsi="Times New Roman;Times;serif"/>
                <w:caps w:val="false"/>
                <w:smallCaps w:val="false"/>
                <w:sz w:val="20"/>
              </w:rPr>
              <w:t>. Any legal action or proceeding with respect to this Certificate of Designations may be brought in the courts of the State of Delaware or of the United States District Court for the District of Delaware, and, the Company and each Holder hereby irrevocably accepts in respect of its property, generally and unconditionally, the jurisdiction of the aforesaid courts. The Company and each Holder hereby irrevocably consents to the service of process out of any of the aforementioned courts and in any such action or proceeding by any means permitted by applicable law, including, without limitation, as set forth in Section 9(f) of the Securities Purchase Agreement. The Company and each Holder agrees that a final judgment in any such action or proceeding shall be conclusive and may be enforced in other jurisdictions by suit on the judgment or in any other manner provided by law. The Company and each Holder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the Company or any Holder has or hereafter may acquire any immunity from jurisdiction of any court or from any legal process (whether through service or notice, attachment prior to judgment, attachment in aid of execution or otherwise) with respect to itself or its property, each of the Company and such Holder hereby irrevocably waives such immunity in respect of its obligations under this Certificate of Designations.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997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Waiver Of Jury Trial, Etc.</w:t>
            </w:r>
            <w:r>
              <w:rPr>
                <w:rFonts w:ascii="Times New Roman;Times;serif" w:hAnsi="Times New Roman;Times;serif"/>
                <w:caps w:val="false"/>
                <w:smallCaps w:val="false"/>
                <w:sz w:val="20"/>
              </w:rPr>
              <w:t> THE COMPANY AND EACH HOLDER HERETO HEREBY WAIVES (TO THE EXTENT PERMITTED BY APPLICABLE LAW) ANY RIGHT TO A TRIAL BY JURY IN ANY ACTION, PROCEEDING OR COUNTERCLAIM CONCERNING ANY RIGHTS UNDER THIS CERTIFICATE OF DESIGNATIONS OR IN CONNECTION WITH OR ARISING OUT OF THIS CERTIFICATE OF DESIGNATIONS OR ANY TRANSACTION CONTEMPLATED HEREBY AND AGREES THAT ANY SUCH ACTION, PROCEEDING OR COUNTERCLAIM SHALL BE TRIED BEFORE A COURT AND NOT BEFORE A JURY. The scope of this waiver is intended to be all encompassing of any and all disputes that may be filed in any court and that relate to the subject matter of this Certificate of Designations or any transaction contemplated hereby, including contract claims, tort claims, breach of duty claims and all other common law and statutory claims.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996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Lost or Stolen Certificates</w:t>
            </w:r>
            <w:r>
              <w:rPr>
                <w:rFonts w:ascii="Times New Roman;Times;serif" w:hAnsi="Times New Roman;Times;serif"/>
                <w:caps w:val="false"/>
                <w:smallCaps w:val="false"/>
                <w:sz w:val="20"/>
              </w:rPr>
              <w:t xml:space="preserve">. Upon receipt by the Company of evidence reasonably satisfactory to the Company of the loss, theft, destruction or mutilation of any Series A Preferred Stock Certificates representing the Series A Preferred Shares, and, in the case of loss, theft or destruction, of an indemnification undertaking by such Holder to the Company in customary form and, in the case of mutilation, upon surrender and cancellation of the Series A Preferred Stock Certificate(s), the Company shall execute and deliver new preferred stock certificate(s) of like tenor and date; </w:t>
            </w:r>
            <w:r>
              <w:rPr>
                <w:rFonts w:ascii="Times New Roman;Times;serif" w:hAnsi="Times New Roman;Times;serif"/>
                <w:caps w:val="false"/>
                <w:smallCaps w:val="false"/>
                <w:sz w:val="20"/>
                <w:u w:val="single"/>
              </w:rPr>
              <w:t>provided</w:t>
            </w:r>
            <w:r>
              <w:rPr>
                <w:rFonts w:ascii="Times New Roman;Times;serif" w:hAnsi="Times New Roman;Times;serif"/>
                <w:caps w:val="false"/>
                <w:smallCaps w:val="false"/>
                <w:sz w:val="20"/>
              </w:rPr>
              <w:t xml:space="preserve">, </w:t>
            </w:r>
            <w:r>
              <w:rPr>
                <w:rFonts w:ascii="Times New Roman;Times;serif" w:hAnsi="Times New Roman;Times;serif"/>
                <w:caps w:val="false"/>
                <w:smallCaps w:val="false"/>
                <w:sz w:val="20"/>
                <w:u w:val="single"/>
              </w:rPr>
              <w:t>however</w:t>
            </w:r>
            <w:r>
              <w:rPr>
                <w:rFonts w:ascii="Times New Roman;Times;serif" w:hAnsi="Times New Roman;Times;serif"/>
                <w:caps w:val="false"/>
                <w:smallCaps w:val="false"/>
                <w:sz w:val="20"/>
              </w:rPr>
              <w:t>, the Company shall not be obligated to re-issue preferred stock certificates if such Holder contemporaneously requests the Company to convert such Series A Preferred Shares into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c>
          <w:tcPr>
            <w:tcW w:w="997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Remedies, Characterizations, Other Obligations, Breaches and Injunctive Relief</w:t>
            </w:r>
            <w:r>
              <w:rPr>
                <w:rFonts w:ascii="Times New Roman;Times;serif" w:hAnsi="Times New Roman;Times;serif"/>
                <w:caps w:val="false"/>
                <w:smallCaps w:val="false"/>
                <w:sz w:val="20"/>
              </w:rPr>
              <w:t>. The remedies provided in this Certificate of Designations shall be cumulative and in addition to all other remedies available under this Certificate of Designations, at law or in equity (including a decree of specific performance and/or other injunctive relief). No remedy contained herein shall be deemed a waiver of compliance with the provisions giving rise to such remedy. Nothing herein shall limit a Holder’s right to pursue actual damages for any failure by the Company to comply with the terms of this Certificate of Designations. The Company covenants to each Holder that there shall be no characterization concerning this instrument other than as expressly provided herein. Amounts set forth or provided for herein with respect to payments, conversion and the like (and the computation thereof) shall be the amounts to be received by such Holder thereof and shall not, except as expressly provided herein, be subject to any other obligation of the Company (or the performance thereof). The Company acknowledges that a breach by it of its obligations hereunder will cause irreparable harm to the Holders and that the remedy at law for any such breach may be inadequate. The Company therefore agrees that, in the event of any such breach or threatened breach, the Holders shall be entitled, in addition to all other available remedies, to an injunction restraining any breach, without the necessity of showing economic loss and without any bond or other security being required.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c>
          <w:tcPr>
            <w:tcW w:w="99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Construction</w:t>
            </w:r>
            <w:r>
              <w:rPr>
                <w:rFonts w:ascii="Times New Roman;Times;serif" w:hAnsi="Times New Roman;Times;serif"/>
                <w:caps w:val="false"/>
                <w:smallCaps w:val="false"/>
                <w:sz w:val="20"/>
              </w:rPr>
              <w:t>. This Certificate of Designations shall be deemed to be jointly drafted by the Company and all Holders and shall not be construed against any person as the drafter 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c>
          <w:tcPr>
            <w:tcW w:w="995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Failure or Indulgence Not Waiver</w:t>
            </w:r>
            <w:r>
              <w:rPr>
                <w:rFonts w:ascii="Times New Roman;Times;serif" w:hAnsi="Times New Roman;Times;serif"/>
                <w:caps w:val="false"/>
                <w:smallCaps w:val="false"/>
                <w:sz w:val="20"/>
              </w:rPr>
              <w:t>. No failure or delay on the part of a Holder in the exercise of any power, right or privilege hereunder shall operate as a waiver thereof, nor shall any single or partial exercise of any such power, right or privilege preclude other or further exercise thereof or of any other right, power or privilege.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c>
          <w:tcPr>
            <w:tcW w:w="99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Transfer of Series A Preferred Shares</w:t>
            </w:r>
            <w:r>
              <w:rPr>
                <w:rFonts w:ascii="Times New Roman;Times;serif" w:hAnsi="Times New Roman;Times;serif"/>
                <w:caps w:val="false"/>
                <w:smallCaps w:val="false"/>
                <w:sz w:val="20"/>
              </w:rPr>
              <w:t>. Any transfer of Series A Preferred Shares shall comply with Section 5(c)(i) of the Securities Purchase Agreement, and any attempted sale, assignment or transfer of Series A Preferred Shares made without such compliance shall be void ab initio and of no effect.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99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Series A Preferred Share Register</w:t>
            </w:r>
            <w:r>
              <w:rPr>
                <w:rFonts w:ascii="Times New Roman;Times;serif" w:hAnsi="Times New Roman;Times;serif"/>
                <w:caps w:val="false"/>
                <w:smallCaps w:val="false"/>
                <w:sz w:val="20"/>
              </w:rPr>
              <w:t>. The Company shall maintain at its principal executive offices (or such other office or agency of the Company as it may designate by notice to the Holders), a register for the Series A Preferred Shares, in which the Company shall record the name and address of the persons in whose name the Series A Preferred Shares have been issued, as well as the name and address of each transferee. The Company may treat the person in whose name any Series A Preferred Share is registered on the register as the owner and holder thereof for all purposes, notwithstanding any notice to the contrary, but in all events recognizing any properly made transfers.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997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Disclosure</w:t>
            </w:r>
            <w:r>
              <w:rPr>
                <w:rFonts w:ascii="Times New Roman;Times;serif" w:hAnsi="Times New Roman;Times;serif"/>
                <w:caps w:val="false"/>
                <w:smallCaps w:val="false"/>
                <w:sz w:val="20"/>
              </w:rPr>
              <w:t>. Upon receipt or delivery by the Company of any notice in accordance with the terms of this Certificate of Designations, unless the Company has in good faith determined that the matters relating to such notice do not constitute material, nonpublic information relating to the Company or its Subsidiaries, the Company shall, unless any provision of any Transaction Document provides otherwise with respect to the receipt or delivery of a particular notice in accordance with the terms and conditions of the Transaction Documents, within four (4) Business Days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shall so indicate to the Holders contemporaneously with delivery of such notice, and in the absence of any such indication, the Holders shall be allowed to presume that all matters relating to such notice do not constitute material, nonpublic information relating to the Company or its Subsidiaries. For purposes of this Section 22, public disclosure of any information by a stockholder of the Company (including any filing pursuant to Section 13 or Section 16 of the Exchange Act) shall satisfy the requirement that such information be publicly disclosed by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995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Certain Defined Terms</w:t>
            </w:r>
            <w:r>
              <w:rPr>
                <w:rFonts w:ascii="Times New Roman;Times;serif" w:hAnsi="Times New Roman;Times;serif"/>
                <w:caps w:val="false"/>
                <w:smallCaps w:val="false"/>
                <w:sz w:val="20"/>
              </w:rPr>
              <w:t>. For purposes of this Certificate of Designations, Preferences and Rights of Series A Convertible Preferred Stock of the Company (this “</w:t>
            </w:r>
            <w:r>
              <w:rPr>
                <w:rFonts w:ascii="Times New Roman;Times;serif" w:hAnsi="Times New Roman;Times;serif"/>
                <w:b/>
                <w:caps w:val="false"/>
                <w:smallCaps w:val="false"/>
                <w:sz w:val="20"/>
              </w:rPr>
              <w:t>Certificate of Designations</w:t>
            </w:r>
            <w:r>
              <w:rPr>
                <w:rFonts w:ascii="Times New Roman;Times;serif" w:hAnsi="Times New Roman;Times;serif"/>
                <w:caps w:val="false"/>
                <w:smallCaps w:val="false"/>
                <w:sz w:val="20"/>
              </w:rPr>
              <w:t>”) the following terms shall have the following meanings: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6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Accrued Value</w:t>
            </w:r>
            <w:r>
              <w:rPr>
                <w:rFonts w:ascii="Times New Roman" w:hAnsi="Times New Roman"/>
                <w:caps w:val="false"/>
                <w:smallCaps w:val="false"/>
                <w:sz w:val="20"/>
              </w:rPr>
              <w:t>” means, with respect to each Series A Preferred Share, the sum of (as adjusted for any split, subdivision, combination, consolidation, recapitalization or similar event with respect to the Series A Preferred Shares) (i) the then-current Stated Value plus (ii) an amount equal to the aggregate of all accrued but unpaid dividends (whether or not declared), including unpaid Accruing Dividends, on such share through and including such date.</w:t>
            </w:r>
          </w:p>
        </w:tc>
      </w:tr>
    </w:tbl>
    <w:p>
      <w:pPr>
        <w:pStyle w:val="TextBody"/>
        <w:bidi w:val="0"/>
        <w:spacing w:before="0" w:after="0"/>
        <w:ind w:left="0" w:right="0" w:hanging="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60"/>
        <w:gridCol w:w="245"/>
        <w:gridCol w:w="7310"/>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731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Affiliate</w:t>
            </w:r>
            <w:r>
              <w:rPr>
                <w:rFonts w:ascii="Times New Roman" w:hAnsi="Times New Roman"/>
                <w:caps w:val="false"/>
                <w:smallCaps w:val="false"/>
                <w:sz w:val="20"/>
              </w:rPr>
              <w:t>” shall have the meaning ascribed to such term in Rule 405 of the Securities Act.</w:t>
            </w:r>
          </w:p>
        </w:tc>
      </w:tr>
    </w:tbl>
    <w:p>
      <w:pPr>
        <w:pStyle w:val="TextBody"/>
        <w:bidi w:val="0"/>
        <w:spacing w:before="0" w:after="0"/>
        <w:ind w:left="0" w:right="0" w:hanging="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60"/>
        <w:gridCol w:w="230"/>
        <w:gridCol w:w="3050"/>
      </w:tblGrid>
      <w:tr>
        <w:trPr/>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305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Bloomberg</w:t>
            </w:r>
            <w:r>
              <w:rPr>
                <w:rFonts w:ascii="Times New Roman" w:hAnsi="Times New Roman"/>
                <w:caps w:val="false"/>
                <w:smallCaps w:val="false"/>
                <w:sz w:val="20"/>
              </w:rPr>
              <w:t>” means Bloomberg L.P.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4"/>
        <w:gridCol w:w="9921"/>
      </w:tblGrid>
      <w:tr>
        <w:trPr/>
        <w:tc>
          <w:tcPr>
            <w:tcW w:w="60" w:type="dxa"/>
            <w:tcBorders/>
            <w:vAlign w:val="center"/>
          </w:tcPr>
          <w:p>
            <w:pPr>
              <w:pStyle w:val="TableContents"/>
              <w:bidi w:val="0"/>
              <w:spacing w:before="0" w:after="283"/>
              <w:jc w:val="both"/>
              <w:rPr/>
            </w:pPr>
            <w:r>
              <w:rPr/>
              <w:t> </w:t>
            </w:r>
          </w:p>
        </w:tc>
        <w:tc>
          <w:tcPr>
            <w:tcW w:w="22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2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Business Day</w:t>
            </w:r>
            <w:r>
              <w:rPr>
                <w:rFonts w:ascii="Times New Roman" w:hAnsi="Times New Roman"/>
                <w:caps w:val="false"/>
                <w:smallCaps w:val="false"/>
                <w:sz w:val="20"/>
              </w:rPr>
              <w:t>” means any day other than Saturday, Sunday or other day on which commercial banks in The City of New York are authorized or required by law to remain closed.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4"/>
        <w:gridCol w:w="9971"/>
      </w:tblGrid>
      <w:tr>
        <w:trPr/>
        <w:tc>
          <w:tcPr>
            <w:tcW w:w="60" w:type="dxa"/>
            <w:tcBorders/>
            <w:vAlign w:val="center"/>
          </w:tcPr>
          <w:p>
            <w:pPr>
              <w:pStyle w:val="TableContents"/>
              <w:bidi w:val="0"/>
              <w:spacing w:before="0" w:after="283"/>
              <w:jc w:val="both"/>
              <w:rPr/>
            </w:pPr>
            <w:r>
              <w:rPr/>
              <w:t> </w:t>
            </w:r>
          </w:p>
        </w:tc>
        <w:tc>
          <w:tcPr>
            <w:tcW w:w="17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w:t>
            </w:r>
          </w:p>
        </w:tc>
        <w:tc>
          <w:tcPr>
            <w:tcW w:w="997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Closing Sale Price</w:t>
            </w:r>
            <w:r>
              <w:rPr>
                <w:rFonts w:ascii="Times New Roman" w:hAnsi="Times New Roman"/>
                <w:caps w:val="false"/>
                <w:smallCaps w:val="false"/>
                <w:sz w:val="20"/>
              </w:rPr>
              <w:t>” means, for any security as of any date, the last closing trade price for such security on the Principal Market, as reported by Bloomberg, or, if the Principal Market begins to operate on an extended hours basis and does not designate the closing trade price, then the last bid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any market makers for such security as reported in the OTC Link or “pink sheets” by OTC Markets Group Inc. If the Closing Sale Price cannot be calculated for a security on a particular date on any of the foregoing bases, the Closing Sale Price of such security on such date shall be the fair market value as mutually determined by the Company and the applicable Holder. All such determinations to be appropriately adjusted for any stock dividend, stock split, stock combination, reclassification or other similar transaction during the applicable calculation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3"/>
        <w:gridCol w:w="9982"/>
      </w:tblGrid>
      <w:tr>
        <w:trPr/>
        <w:tc>
          <w:tcPr>
            <w:tcW w:w="60" w:type="dxa"/>
            <w:tcBorders/>
            <w:vAlign w:val="center"/>
          </w:tcPr>
          <w:p>
            <w:pPr>
              <w:pStyle w:val="TableContents"/>
              <w:bidi w:val="0"/>
              <w:spacing w:before="0" w:after="283"/>
              <w:jc w:val="both"/>
              <w:rPr/>
            </w:pPr>
            <w:r>
              <w:rPr/>
              <w:t> </w:t>
            </w:r>
          </w:p>
        </w:tc>
        <w:tc>
          <w:tcPr>
            <w:tcW w:w="1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w:t>
            </w:r>
          </w:p>
        </w:tc>
        <w:tc>
          <w:tcPr>
            <w:tcW w:w="9982"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Common Stock</w:t>
            </w:r>
            <w:r>
              <w:rPr>
                <w:rFonts w:ascii="Times New Roman" w:hAnsi="Times New Roman"/>
                <w:caps w:val="false"/>
                <w:smallCaps w:val="false"/>
                <w:sz w:val="20"/>
              </w:rPr>
              <w:t>” means (i) the Company’s shares of Common Stock, par value $0.001 per share and (ii) any capital stock into which such Common Stock shall have been changed or any capital stock resulting from a reorganization, recapitalization or reclassification of such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580" w:type="dxa"/>
        <w:jc w:val="left"/>
        <w:tblInd w:w="0" w:type="dxa"/>
        <w:tblLayout w:type="fixed"/>
        <w:tblCellMar>
          <w:top w:w="0" w:type="dxa"/>
          <w:left w:w="0" w:type="dxa"/>
          <w:bottom w:w="0" w:type="dxa"/>
          <w:right w:w="0" w:type="dxa"/>
        </w:tblCellMar>
      </w:tblPr>
      <w:tblGrid>
        <w:gridCol w:w="60"/>
        <w:gridCol w:w="245"/>
        <w:gridCol w:w="6275"/>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w:t>
            </w:r>
          </w:p>
        </w:tc>
        <w:tc>
          <w:tcPr>
            <w:tcW w:w="6275" w:type="dxa"/>
            <w:tcBorders/>
            <w:vAlign w:val="center"/>
          </w:tcPr>
          <w:p>
            <w:pPr>
              <w:pStyle w:val="TableContents"/>
              <w:bidi w:val="0"/>
              <w:spacing w:lineRule="auto" w:line="288"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Conversion Price</w:t>
            </w:r>
            <w:r>
              <w:rPr>
                <w:rFonts w:ascii="Times New Roman" w:hAnsi="Times New Roman"/>
                <w:caps w:val="false"/>
                <w:smallCaps w:val="false"/>
                <w:sz w:val="20"/>
              </w:rPr>
              <w:t>” means $0.501, subject to adjustment as provided 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4"/>
        <w:gridCol w:w="9921"/>
      </w:tblGrid>
      <w:tr>
        <w:trPr/>
        <w:tc>
          <w:tcPr>
            <w:tcW w:w="60" w:type="dxa"/>
            <w:tcBorders/>
            <w:vAlign w:val="center"/>
          </w:tcPr>
          <w:p>
            <w:pPr>
              <w:pStyle w:val="TableContents"/>
              <w:bidi w:val="0"/>
              <w:spacing w:before="0" w:after="283"/>
              <w:jc w:val="both"/>
              <w:rPr/>
            </w:pPr>
            <w:r>
              <w:rPr/>
              <w:t> </w:t>
            </w:r>
          </w:p>
        </w:tc>
        <w:tc>
          <w:tcPr>
            <w:tcW w:w="22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w:t>
            </w:r>
          </w:p>
        </w:tc>
        <w:tc>
          <w:tcPr>
            <w:tcW w:w="992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Convertible Securities</w:t>
            </w:r>
            <w:r>
              <w:rPr>
                <w:rFonts w:ascii="Times New Roman" w:hAnsi="Times New Roman"/>
                <w:caps w:val="false"/>
                <w:smallCaps w:val="false"/>
                <w:sz w:val="20"/>
              </w:rPr>
              <w:t>” means any stock or securities (other than Options) directly or indirectly convertible into or exercisable or exchangeable for shares of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9"/>
        <w:gridCol w:w="9996"/>
      </w:tblGrid>
      <w:tr>
        <w:trPr/>
        <w:tc>
          <w:tcPr>
            <w:tcW w:w="60" w:type="dxa"/>
            <w:tcBorders/>
            <w:vAlign w:val="center"/>
          </w:tcPr>
          <w:p>
            <w:pPr>
              <w:pStyle w:val="TableContents"/>
              <w:bidi w:val="0"/>
              <w:spacing w:before="0" w:after="283"/>
              <w:jc w:val="both"/>
              <w:rPr/>
            </w:pPr>
            <w:r>
              <w:rPr/>
              <w:t> </w:t>
            </w:r>
          </w:p>
        </w:tc>
        <w:tc>
          <w:tcPr>
            <w:tcW w:w="1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9996"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Dividend Payment Date</w:t>
            </w:r>
            <w:r>
              <w:rPr>
                <w:rFonts w:ascii="Times New Roman" w:hAnsi="Times New Roman"/>
                <w:caps w:val="false"/>
                <w:smallCaps w:val="false"/>
                <w:sz w:val="20"/>
              </w:rPr>
              <w:t>” shall mean March 31, June 30, September 30 and December 31 of each year, commencing on such date immediately following the Issuance Date; provided that if any such Dividend Payment Date would otherwise occur on a day that is not a Business Day, such Dividend Payment Date shall instead be (and any dividend payable on the Series A Preferred Shares on such Dividend Payment Date shall instead be payable on) the immediately succeeding Business Day (without any interest, and with any additional accumulated dividends in connection with such additional Business Day(s) being recognized in the Dividend Period commencing on such Dividend Payment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283"/>
              <w:jc w:val="both"/>
              <w:rPr/>
            </w:pPr>
            <w:r>
              <w:rPr/>
              <w:t> </w:t>
            </w:r>
          </w:p>
        </w:tc>
        <w:tc>
          <w:tcPr>
            <w:tcW w:w="1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w:t>
            </w:r>
          </w:p>
        </w:tc>
        <w:tc>
          <w:tcPr>
            <w:tcW w:w="9979"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Dividend Period</w:t>
            </w:r>
            <w:r>
              <w:rPr>
                <w:rFonts w:ascii="Times New Roman" w:hAnsi="Times New Roman"/>
                <w:caps w:val="false"/>
                <w:smallCaps w:val="false"/>
                <w:sz w:val="20"/>
              </w:rPr>
              <w:t>” shall mean the period commencing on and including a Dividend Payment Date (or, in the case of the initial Dividend Period, the Issuance Date) and shall end on and include the day immediately preceding the next Dividend Payment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0"/>
        <w:gridCol w:w="9925"/>
      </w:tblGrid>
      <w:tr>
        <w:trPr/>
        <w:tc>
          <w:tcPr>
            <w:tcW w:w="60" w:type="dxa"/>
            <w:tcBorders/>
            <w:vAlign w:val="center"/>
          </w:tcPr>
          <w:p>
            <w:pPr>
              <w:pStyle w:val="TableContents"/>
              <w:bidi w:val="0"/>
              <w:spacing w:before="0" w:after="283"/>
              <w:jc w:val="both"/>
              <w:rPr/>
            </w:pPr>
            <w:r>
              <w:rPr/>
              <w:t> </w:t>
            </w:r>
          </w:p>
        </w:tc>
        <w:tc>
          <w:tcPr>
            <w:tcW w:w="2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w:t>
            </w:r>
          </w:p>
        </w:tc>
        <w:tc>
          <w:tcPr>
            <w:tcW w:w="992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Eligible Market</w:t>
            </w:r>
            <w:r>
              <w:rPr>
                <w:rFonts w:ascii="Times New Roman" w:hAnsi="Times New Roman"/>
                <w:caps w:val="false"/>
                <w:smallCaps w:val="false"/>
                <w:sz w:val="20"/>
              </w:rPr>
              <w:t>” means the Principal Market, The New York Stock Exchange, Inc., the NYSE American, the Nasdaq Global Select Market, the Nasdaq Global Market or the Nasdaq Capital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both"/>
              <w:rPr/>
            </w:pPr>
            <w:r>
              <w:rPr/>
              <w:t> </w:t>
            </w:r>
          </w:p>
        </w:tc>
        <w:tc>
          <w:tcPr>
            <w:tcW w:w="1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w:t>
            </w:r>
          </w:p>
        </w:tc>
        <w:tc>
          <w:tcPr>
            <w:tcW w:w="10004"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Fundamental Transaction</w:t>
            </w:r>
            <w:r>
              <w:rPr>
                <w:rFonts w:ascii="Times New Roman" w:hAnsi="Times New Roman"/>
                <w:caps w:val="false"/>
                <w:smallCaps w:val="false"/>
                <w:sz w:val="20"/>
              </w:rPr>
              <w:t>” means (i) that the Company shall, directly or indirectly, including through Subsidiaries, Affiliates or otherwise, in one or more related transactions, (A) consolidate or merge with or into (whether or not the Company is the surviving corporation) another Subject Entity, or (B) sell, assign, transfer, convey or otherwise dispose of all or substantially all of the properties or assets, determined on a consolidated basis, of the Company or any of its “significant subsidiaries” (as defined in Rule 1-02 of Regulation S-X) to one or more Subject Entities, or (C) make, or allow one or more Subject Entities to make, or allow the Company to be subject to or have its Common Stock be subject to or party to one or more Subject Entities making, a purchase, tender or exchange offer that is accepted by the holders of at least either (1) 50% of the outstanding shares of Common Stock, (2) 50% of the outstanding shares of Common Stock calculated as if any shares of Common Stock held by all Subject Entities making or party to, or Affiliated with any Subject Entities making or party to, such purchase, tender or exchange offer were not outstanding; or (3)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(D) consummate a stock purchase agreement or other business combination (including, without limitation, a reorganization, recapitalization, spin-off or scheme of arrangement) with one or more Subject Entities whereby such Subject Entities, individually or in the aggregate, acquire, either (1) at least 50% of the outstanding shares of Common Stock, (2)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(3) such number of shares of Common Stock such that the Subject Entities become collectively the beneficial owners (as defined in Rule 13d-3 under the Exchange Act) of at least 50% of the outstanding shares of Common Stock, or (E) reorganize, recapitalize or reclassify its Common Stock, or (ii)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Issuance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Note to Draft: Price shall be subject to adjustment for any stock dividend, stock split, stock combination, reclassification or other similar transactions occurring between the date of the signing and closing.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88"/>
        <w:gridCol w:w="9857"/>
      </w:tblGrid>
      <w:tr>
        <w:trPr/>
        <w:tc>
          <w:tcPr>
            <w:tcW w:w="60" w:type="dxa"/>
            <w:tcBorders/>
            <w:vAlign w:val="center"/>
          </w:tcPr>
          <w:p>
            <w:pPr>
              <w:pStyle w:val="TableContents"/>
              <w:bidi w:val="0"/>
              <w:spacing w:before="0" w:after="283"/>
              <w:jc w:val="both"/>
              <w:rPr/>
            </w:pPr>
            <w:r>
              <w:rPr/>
              <w:t> </w:t>
            </w:r>
          </w:p>
        </w:tc>
        <w:tc>
          <w:tcPr>
            <w:tcW w:w="2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w:t>
            </w:r>
          </w:p>
        </w:tc>
        <w:tc>
          <w:tcPr>
            <w:tcW w:w="9857"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Group</w:t>
            </w:r>
            <w:r>
              <w:rPr>
                <w:rFonts w:ascii="Times New Roman" w:hAnsi="Times New Roman"/>
                <w:caps w:val="false"/>
                <w:smallCaps w:val="false"/>
                <w:sz w:val="20"/>
              </w:rPr>
              <w:t>” means a “group” as that term is used in Section 13(d) of the Exchange Act and as defined in Rule 13d-5 thereunder.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9"/>
        <w:gridCol w:w="9956"/>
      </w:tblGrid>
      <w:tr>
        <w:trPr/>
        <w:tc>
          <w:tcPr>
            <w:tcW w:w="60" w:type="dxa"/>
            <w:tcBorders/>
            <w:vAlign w:val="center"/>
          </w:tcPr>
          <w:p>
            <w:pPr>
              <w:pStyle w:val="TableContents"/>
              <w:bidi w:val="0"/>
              <w:spacing w:before="0" w:after="283"/>
              <w:jc w:val="both"/>
              <w:rPr/>
            </w:pPr>
            <w:r>
              <w:rPr/>
              <w:t> </w:t>
            </w:r>
          </w:p>
        </w:tc>
        <w:tc>
          <w:tcPr>
            <w:tcW w:w="18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w:t>
            </w:r>
          </w:p>
        </w:tc>
        <w:tc>
          <w:tcPr>
            <w:tcW w:w="9956"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Liquidation Event</w:t>
            </w:r>
            <w:r>
              <w:rPr>
                <w:rFonts w:ascii="Times New Roman" w:hAnsi="Times New Roman"/>
                <w:caps w:val="false"/>
                <w:smallCaps w:val="false"/>
                <w:sz w:val="20"/>
              </w:rPr>
              <w:t>” means (i) the voluntary or involuntary liquidation, dissolution or winding up of the Company or such Subsidiaries the assets of which constitute all or substantially all of the assets of the business of the Company and its Subsidiaries taken as a whole, in a single transaction or series of transactions, or adoption of any plan for the same, (ii) a consolidation or merger of the Company with or into another entity except any such consolidation or merger (in a single transaction or in a related series of transactions) involving the Company or a subsidiary in which the shares of capital stock of the Company outstanding immediately prior to such consolidation or merger continue to represent, or are converted into or exchanged for shares of capital stock that represent, immediately following such consolidation or merger at least a majority, by voting power, of the outstanding capital stock of (1) the surviving or resulting corporation or (2) if the surviving or resulting corporation is a wholly owned subsidiary of another corporation immediately following such consolidation or merger, the parent corporation of such surviving or resulting corporation, (iii) except as provided for in clause (ii), a Fundamental Transaction, or (iv) a sale, license, lease or transfer of all or substantially all of the Company’s assets.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w:t>
            </w:r>
          </w:p>
        </w:tc>
        <w:tc>
          <w:tcPr>
            <w:tcW w:w="9907"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Options</w:t>
            </w:r>
            <w:r>
              <w:rPr>
                <w:rFonts w:ascii="Times New Roman" w:hAnsi="Times New Roman"/>
                <w:caps w:val="false"/>
                <w:smallCaps w:val="false"/>
                <w:sz w:val="20"/>
              </w:rPr>
              <w:t>” means any rights, warrants or options to subscribe for or purchase (i) shares of Common Stock or (ii) Convertible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both"/>
              <w:rPr/>
            </w:pPr>
            <w:r>
              <w:rPr/>
              <w:t> </w:t>
            </w:r>
          </w:p>
        </w:tc>
        <w:tc>
          <w:tcPr>
            <w:tcW w:w="2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w:t>
            </w:r>
          </w:p>
        </w:tc>
        <w:tc>
          <w:tcPr>
            <w:tcW w:w="9929"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Person</w:t>
            </w:r>
            <w:r>
              <w:rPr>
                <w:rFonts w:ascii="Times New Roman" w:hAnsi="Times New Roman"/>
                <w:caps w:val="false"/>
                <w:smallCaps w:val="false"/>
                <w:sz w:val="20"/>
              </w:rPr>
              <w:t>” means an individual, a limited liability company, a partnership, a joint venture, a corporation, a trust, an unincorporated organization, any other entity and a government or any department or agency thereof.</w:t>
            </w:r>
          </w:p>
        </w:tc>
      </w:tr>
    </w:tbl>
    <w:p>
      <w:pPr>
        <w:pStyle w:val="TextBody"/>
        <w:bidi w:val="0"/>
        <w:spacing w:before="0" w:after="0"/>
        <w:ind w:left="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60"/>
        <w:gridCol w:w="245"/>
        <w:gridCol w:w="5000"/>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(q)</w:t>
            </w:r>
          </w:p>
        </w:tc>
        <w:tc>
          <w:tcPr>
            <w:tcW w:w="500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Principal Market</w:t>
            </w:r>
            <w:r>
              <w:rPr>
                <w:rFonts w:ascii="Times New Roman" w:hAnsi="Times New Roman"/>
                <w:caps w:val="false"/>
                <w:smallCaps w:val="false"/>
                <w:sz w:val="20"/>
              </w:rPr>
              <w:t>” means the Nasdaq Global Select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w:t>
            </w:r>
          </w:p>
        </w:tc>
        <w:tc>
          <w:tcPr>
            <w:tcW w:w="995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Required Holders</w:t>
            </w:r>
            <w:r>
              <w:rPr>
                <w:rFonts w:ascii="Times New Roman" w:hAnsi="Times New Roman"/>
                <w:caps w:val="false"/>
                <w:smallCaps w:val="false"/>
                <w:sz w:val="20"/>
              </w:rPr>
              <w:t>” means the Holders representing at least a majority of the aggregate Series A Preferred Shares then outstanding.</w:t>
            </w:r>
          </w:p>
        </w:tc>
      </w:tr>
    </w:tbl>
    <w:p>
      <w:pPr>
        <w:pStyle w:val="TextBody"/>
        <w:bidi w:val="0"/>
        <w:spacing w:before="0" w:after="0"/>
        <w:ind w:left="0" w:right="0" w:hanging="0"/>
        <w:jc w:val="both"/>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215"/>
        <w:gridCol w:w="5720"/>
      </w:tblGrid>
      <w:tr>
        <w:trPr/>
        <w:tc>
          <w:tcPr>
            <w:tcW w:w="60" w:type="dxa"/>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w:t>
            </w:r>
          </w:p>
        </w:tc>
        <w:tc>
          <w:tcPr>
            <w:tcW w:w="57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SEC</w:t>
            </w:r>
            <w:r>
              <w:rPr>
                <w:rFonts w:ascii="Times New Roman" w:hAnsi="Times New Roman"/>
                <w:caps w:val="false"/>
                <w:smallCaps w:val="false"/>
                <w:sz w:val="20"/>
              </w:rPr>
              <w:t>” means the United States Securities and Exchange Commission.</w:t>
            </w:r>
          </w:p>
        </w:tc>
      </w:tr>
    </w:tbl>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60"/>
        <w:gridCol w:w="200"/>
        <w:gridCol w:w="5150"/>
      </w:tblGrid>
      <w:tr>
        <w:trPr/>
        <w:tc>
          <w:tcPr>
            <w:tcW w:w="60"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w:t>
            </w:r>
          </w:p>
        </w:tc>
        <w:tc>
          <w:tcPr>
            <w:tcW w:w="515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Securities Act</w:t>
            </w:r>
            <w:r>
              <w:rPr>
                <w:rFonts w:ascii="Times New Roman" w:hAnsi="Times New Roman"/>
                <w:caps w:val="false"/>
                <w:smallCaps w:val="false"/>
                <w:sz w:val="20"/>
              </w:rPr>
              <w:t>” means the Securities Act of 1933, as amended.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6"/>
        <w:gridCol w:w="9919"/>
      </w:tblGrid>
      <w:tr>
        <w:trPr/>
        <w:tc>
          <w:tcPr>
            <w:tcW w:w="60" w:type="dxa"/>
            <w:tcBorders/>
            <w:vAlign w:val="center"/>
          </w:tcPr>
          <w:p>
            <w:pPr>
              <w:pStyle w:val="TableContents"/>
              <w:bidi w:val="0"/>
              <w:spacing w:before="0" w:after="283"/>
              <w:jc w:val="both"/>
              <w:rPr/>
            </w:pPr>
            <w:r>
              <w:rPr/>
              <w:t> </w:t>
            </w:r>
          </w:p>
        </w:tc>
        <w:tc>
          <w:tcPr>
            <w:tcW w:w="2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w:t>
            </w:r>
          </w:p>
        </w:tc>
        <w:tc>
          <w:tcPr>
            <w:tcW w:w="9919"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Securities Purchase Agreement</w:t>
            </w:r>
            <w:r>
              <w:rPr>
                <w:rFonts w:ascii="Times New Roman" w:hAnsi="Times New Roman"/>
                <w:caps w:val="false"/>
                <w:smallCaps w:val="false"/>
                <w:sz w:val="20"/>
              </w:rPr>
              <w:t>” means the Securities Purchase Agreement, dated as of July 29, 2026, by and among the Company and the investors referred to therein.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w:t>
            </w:r>
          </w:p>
        </w:tc>
        <w:tc>
          <w:tcPr>
            <w:tcW w:w="9934"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Standard Settlement Period</w:t>
            </w:r>
            <w:r>
              <w:rPr>
                <w:rFonts w:ascii="Times New Roman" w:hAnsi="Times New Roman"/>
                <w:caps w:val="false"/>
                <w:smallCaps w:val="false"/>
                <w:sz w:val="20"/>
              </w:rPr>
              <w:t>” means the standard settlement period, expressed in a number of Trading Days, on the Company’s primary Eligible Market with respect to the Common Stock as in effect on the date of delivery of the applicable Conversion Notice.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6"/>
        <w:gridCol w:w="9889"/>
      </w:tblGrid>
      <w:tr>
        <w:trPr/>
        <w:tc>
          <w:tcPr>
            <w:tcW w:w="60" w:type="dxa"/>
            <w:tcBorders/>
            <w:vAlign w:val="center"/>
          </w:tcPr>
          <w:p>
            <w:pPr>
              <w:pStyle w:val="TableContents"/>
              <w:bidi w:val="0"/>
              <w:spacing w:before="0" w:after="283"/>
              <w:jc w:val="both"/>
              <w:rPr/>
            </w:pPr>
            <w:r>
              <w:rPr/>
              <w:t> </w:t>
            </w:r>
          </w:p>
        </w:tc>
        <w:tc>
          <w:tcPr>
            <w:tcW w:w="2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w:t>
            </w:r>
          </w:p>
        </w:tc>
        <w:tc>
          <w:tcPr>
            <w:tcW w:w="9889"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Stated Value</w:t>
            </w:r>
            <w:r>
              <w:rPr>
                <w:rFonts w:ascii="Times New Roman" w:hAnsi="Times New Roman"/>
                <w:caps w:val="false"/>
                <w:smallCaps w:val="false"/>
                <w:sz w:val="20"/>
              </w:rPr>
              <w:t>” means $1,000 plus such amounts as are added thereto from time to time in connection with the payment of Accruing Dividends pursuant to Section 3(b).</w:t>
            </w:r>
          </w:p>
        </w:tc>
      </w:tr>
    </w:tbl>
    <w:p>
      <w:pPr>
        <w:pStyle w:val="TextBody"/>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245"/>
        <w:gridCol w:w="8855"/>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(x)</w:t>
            </w:r>
          </w:p>
        </w:tc>
        <w:tc>
          <w:tcPr>
            <w:tcW w:w="885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Stockholder Approval</w:t>
            </w:r>
            <w:r>
              <w:rPr>
                <w:rFonts w:ascii="Times New Roman" w:hAnsi="Times New Roman"/>
                <w:caps w:val="false"/>
                <w:smallCaps w:val="false"/>
                <w:sz w:val="20"/>
              </w:rPr>
              <w:t>” shall have the meaning ascribed to such term in the Securities Purchase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w:t>
            </w:r>
          </w:p>
        </w:tc>
        <w:tc>
          <w:tcPr>
            <w:tcW w:w="991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Subject Entity</w:t>
            </w:r>
            <w:r>
              <w:rPr>
                <w:rFonts w:ascii="Times New Roman" w:hAnsi="Times New Roman"/>
                <w:caps w:val="false"/>
                <w:smallCaps w:val="false"/>
                <w:sz w:val="20"/>
              </w:rPr>
              <w:t>” means any Person, Persons or Group or any Affiliate or associate of any such Person, Persons or Group, in each case, other than the 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both"/>
              <w:rPr/>
            </w:pPr>
            <w:r>
              <w:rPr/>
              <w:t> </w:t>
            </w:r>
          </w:p>
        </w:tc>
        <w:tc>
          <w:tcPr>
            <w:tcW w:w="19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(z)</w:t>
            </w:r>
          </w:p>
        </w:tc>
        <w:tc>
          <w:tcPr>
            <w:tcW w:w="9946"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Subsidiaries</w:t>
            </w:r>
            <w:r>
              <w:rPr>
                <w:rFonts w:ascii="Times New Roman" w:hAnsi="Times New Roman"/>
                <w:caps w:val="false"/>
                <w:smallCaps w:val="false"/>
                <w:sz w:val="20"/>
              </w:rPr>
              <w:t>” means any joint venture or entity in which the Company, directly or indirectly, owns a majority of capital stock or an equity or similar interest, including any subsidiaries formed or acquired after the Issuance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8"/>
        <w:gridCol w:w="9877"/>
      </w:tblGrid>
      <w:tr>
        <w:trPr/>
        <w:tc>
          <w:tcPr>
            <w:tcW w:w="60" w:type="dxa"/>
            <w:tcBorders/>
            <w:vAlign w:val="center"/>
          </w:tcPr>
          <w:p>
            <w:pPr>
              <w:pStyle w:val="TableContents"/>
              <w:bidi w:val="0"/>
              <w:spacing w:before="0" w:after="283"/>
              <w:jc w:val="both"/>
              <w:rPr/>
            </w:pPr>
            <w:r>
              <w:rPr/>
              <w:t> </w:t>
            </w:r>
          </w:p>
        </w:tc>
        <w:tc>
          <w:tcPr>
            <w:tcW w:w="26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(aa)</w:t>
            </w:r>
          </w:p>
        </w:tc>
        <w:tc>
          <w:tcPr>
            <w:tcW w:w="9877"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Trading Day</w:t>
            </w:r>
            <w:r>
              <w:rPr>
                <w:rFonts w:ascii="Times New Roman" w:hAnsi="Times New Roman"/>
                <w:caps w:val="false"/>
                <w:smallCaps w:val="false"/>
                <w:sz w:val="20"/>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Times New Roman" w:hAnsi="Times New Roman"/>
                <w:caps w:val="false"/>
                <w:smallCaps w:val="false"/>
                <w:sz w:val="20"/>
                <w:u w:val="single"/>
              </w:rPr>
              <w:t>provided</w:t>
            </w:r>
            <w:r>
              <w:rPr>
                <w:rFonts w:ascii="Times New Roman" w:hAnsi="Times New Roman"/>
                <w:caps w:val="false"/>
                <w:smallCaps w:val="false"/>
                <w:sz w:val="20"/>
              </w:rPr>
              <w:t> that “Trading Day” shall not include any day on which the Common Stock is scheduled to trade on such exchange or market for less than 4.5 hours or any day that the Common Stock is suspended from trading during the entire final hour of trading on such exchange or market (or if such exchange or market does not designate in advance the closing time of trading on such exchange or market, then during the hour ending at 4:00:00 p.m., New York time).</w:t>
            </w:r>
          </w:p>
        </w:tc>
      </w:tr>
    </w:tbl>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0"/>
        <w:gridCol w:w="350"/>
        <w:gridCol w:w="8570"/>
      </w:tblGrid>
      <w:tr>
        <w:trPr/>
        <w:tc>
          <w:tcPr>
            <w:tcW w:w="60" w:type="dxa"/>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(bb)</w:t>
            </w:r>
          </w:p>
        </w:tc>
        <w:tc>
          <w:tcPr>
            <w:tcW w:w="857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Transaction Documents</w:t>
            </w:r>
            <w:r>
              <w:rPr>
                <w:rFonts w:ascii="Times New Roman" w:hAnsi="Times New Roman"/>
                <w:caps w:val="false"/>
                <w:smallCaps w:val="false"/>
                <w:sz w:val="20"/>
              </w:rPr>
              <w:t>” means this Certificate of Designations and the Securities Purchase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the Company has caused this Certificate of Designations to be duly executed, as of the __ day of _____________, 2026.</w:t>
      </w:r>
    </w:p>
    <w:p>
      <w:pPr>
        <w:pStyle w:val="TextBody"/>
        <w:bidi w:val="0"/>
        <w:spacing w:before="0" w:after="0"/>
        <w:ind w:left="0" w:right="0" w:hanging="0"/>
        <w:jc w:val="left"/>
        <w:rPr>
          <w:caps w:val="false"/>
          <w:smallCaps w:val="false"/>
        </w:rPr>
      </w:pPr>
      <w:r>
        <w:rPr>
          <w:caps w:val="false"/>
          <w:smallCaps w:val="false"/>
        </w:rPr>
        <w:t> </w:t>
      </w:r>
    </w:p>
    <w:tbl>
      <w:tblPr>
        <w:tblW w:w="3022" w:type="dxa"/>
        <w:jc w:val="left"/>
        <w:tblInd w:w="0" w:type="dxa"/>
        <w:tblLayout w:type="fixed"/>
        <w:tblCellMar>
          <w:top w:w="0" w:type="dxa"/>
          <w:left w:w="0" w:type="dxa"/>
          <w:bottom w:w="0" w:type="dxa"/>
          <w:right w:w="0" w:type="dxa"/>
        </w:tblCellMar>
      </w:tblPr>
      <w:tblGrid>
        <w:gridCol w:w="75"/>
        <w:gridCol w:w="2388"/>
        <w:gridCol w:w="559"/>
      </w:tblGrid>
      <w:tr>
        <w:trPr/>
        <w:tc>
          <w:tcPr>
            <w:tcW w:w="75" w:type="dxa"/>
            <w:tcBorders/>
            <w:vAlign w:val="center"/>
          </w:tcPr>
          <w:p>
            <w:pPr>
              <w:pStyle w:val="TableContents"/>
              <w:bidi w:val="0"/>
              <w:spacing w:before="0" w:after="283"/>
              <w:jc w:val="left"/>
              <w:rPr/>
            </w:pPr>
            <w:r>
              <w:rPr/>
              <w:t> </w:t>
            </w:r>
          </w:p>
        </w:tc>
        <w:tc>
          <w:tcPr>
            <w:tcW w:w="2947" w:type="dxa"/>
            <w:gridSpan w:val="2"/>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ACCURAY INCORPORATED</w:t>
            </w:r>
          </w:p>
        </w:tc>
      </w:tr>
      <w:tr>
        <w:trPr/>
        <w:tc>
          <w:tcPr>
            <w:tcW w:w="75" w:type="dxa"/>
            <w:tcBorders/>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55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EXHIBIT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ACCURAY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CONVERSION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Reference is made to the Certificate of Designations, Preferences and Rights of Series A Convertible Preferred Stock of Accuray Incorporated (the “</w:t>
      </w:r>
      <w:r>
        <w:rPr>
          <w:rFonts w:ascii="Times New Roman" w:hAnsi="Times New Roman"/>
          <w:b/>
          <w:caps w:val="false"/>
          <w:smallCaps w:val="false"/>
          <w:sz w:val="20"/>
        </w:rPr>
        <w:t>Certificate of Designations</w:t>
      </w:r>
      <w:r>
        <w:rPr>
          <w:rFonts w:ascii="Times New Roman" w:hAnsi="Times New Roman"/>
          <w:caps w:val="false"/>
          <w:smallCaps w:val="false"/>
          <w:sz w:val="20"/>
        </w:rPr>
        <w:t>”). In accordance with and pursuant to the Certificate of Designations, the undersigned hereby elects to convert the number of shares of Series A Convertible Preferred Stock, par value $0.001 per share (the “</w:t>
      </w:r>
      <w:r>
        <w:rPr>
          <w:rFonts w:ascii="Times New Roman" w:hAnsi="Times New Roman"/>
          <w:b/>
          <w:caps w:val="false"/>
          <w:smallCaps w:val="false"/>
          <w:sz w:val="20"/>
        </w:rPr>
        <w:t>Series A Preferred Shares</w:t>
      </w:r>
      <w:r>
        <w:rPr>
          <w:rFonts w:ascii="Times New Roman" w:hAnsi="Times New Roman"/>
          <w:caps w:val="false"/>
          <w:smallCaps w:val="false"/>
          <w:sz w:val="20"/>
        </w:rPr>
        <w:t>”), of Accuray Incorporated, a Delaware corporation (the “</w:t>
      </w:r>
      <w:r>
        <w:rPr>
          <w:rFonts w:ascii="Times New Roman" w:hAnsi="Times New Roman"/>
          <w:b/>
          <w:caps w:val="false"/>
          <w:smallCaps w:val="false"/>
          <w:sz w:val="20"/>
        </w:rPr>
        <w:t>Company</w:t>
      </w:r>
      <w:r>
        <w:rPr>
          <w:rFonts w:ascii="Times New Roman" w:hAnsi="Times New Roman"/>
          <w:caps w:val="false"/>
          <w:smallCaps w:val="false"/>
          <w:sz w:val="20"/>
        </w:rPr>
        <w:t>”), indicated below into shares of Common Stock, par value $0.001 per share (the “</w:t>
      </w:r>
      <w:r>
        <w:rPr>
          <w:rFonts w:ascii="Times New Roman" w:hAnsi="Times New Roman"/>
          <w:b/>
          <w:caps w:val="false"/>
          <w:smallCaps w:val="false"/>
          <w:sz w:val="20"/>
        </w:rPr>
        <w:t>Common Stock</w:t>
      </w:r>
      <w:r>
        <w:rPr>
          <w:rFonts w:ascii="Times New Roman" w:hAnsi="Times New Roman"/>
          <w:caps w:val="false"/>
          <w:smallCaps w:val="false"/>
          <w:sz w:val="20"/>
        </w:rPr>
        <w:t>”), of the Company, as of the date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Number of Series A Preferred Shares to be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 certificate no(s). of Series A Preferred Shares to be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 ID Number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Please confirm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Please check the following box if the Conversion Price is being determined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Number of shares of Common Stock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Please issue the Common Stock into which the Series A Preferred Shares are being converted to the Holder, or for its benefit,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Check here if requesting delivery as a certificate to the following name and to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Issue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Check here if requesting delivery by DWAC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DTC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DTC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Check here if requesting delivery by book-entry only registration through the DTC’s Direct Registration System (DRS):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Issue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Authorization: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485"/>
        <w:gridCol w:w="75"/>
      </w:tblGrid>
      <w:tr>
        <w:trPr/>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Title: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 Number (if electronic book entry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 Code Number (if electronic book entry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NOTE TO HOLDER — THIS FORM MUST BE SENT CONCURRENTLY TO TRANSFER AGENT</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ACKNOWLEDGMENT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hereby acknowledges this Conversion Notice and hereby directs Computershare Inc. to issue the above indicated number of shares of Common Stock in accordance with the Irrevocable Transfer Agent Instructions dated ____________________, 2026 from the Company and acknowledged and agreed to by Computershare Inc.</w:t>
      </w:r>
    </w:p>
    <w:p>
      <w:pPr>
        <w:pStyle w:val="TextBody"/>
        <w:bidi w:val="0"/>
        <w:spacing w:before="0" w:after="0"/>
        <w:ind w:left="0" w:right="0" w:hanging="0"/>
        <w:jc w:val="left"/>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2495"/>
      </w:tblGrid>
      <w:tr>
        <w:trPr/>
        <w:tc>
          <w:tcPr>
            <w:tcW w:w="2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ACCURAY INCORPORATED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35" w:type="dxa"/>
        <w:jc w:val="left"/>
        <w:tblInd w:w="0" w:type="dxa"/>
        <w:tblLayout w:type="fixed"/>
        <w:tblCellMar>
          <w:top w:w="0" w:type="dxa"/>
          <w:left w:w="0" w:type="dxa"/>
          <w:bottom w:w="0" w:type="dxa"/>
          <w:right w:w="0" w:type="dxa"/>
        </w:tblCellMar>
      </w:tblPr>
      <w:tblGrid>
        <w:gridCol w:w="560"/>
        <w:gridCol w:w="75"/>
      </w:tblGrid>
      <w:tr>
        <w:trPr/>
        <w:tc>
          <w:tcPr>
            <w:tcW w:w="5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Title: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Certain information in this exhibit has been omitted because they are both (i) not material and (ii) is the type that the company treats as private or confidential, and has been marked with </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xml:space="preserve">” </w:t>
      </w:r>
      <w:r>
        <w:rPr>
          <w:rFonts w:ascii="Times New Roman" w:hAnsi="Times New Roman"/>
          <w:b/>
          <w:caps w:val="false"/>
          <w:smallCaps w:val="false"/>
          <w:sz w:val="20"/>
        </w:rPr>
        <w:t>to indicate where omissions have been made.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B</w:t>
      </w:r>
      <w:r>
        <w:rPr>
          <w:rFonts w:ascii="Times New Roman" w:hAnsi="Times New Roman"/>
          <w:caps w:val="false"/>
          <w:smallCaps w:val="false"/>
          <w:sz w:val="20"/>
        </w:rPr>
        <w:br/>
      </w:r>
      <w:r>
        <w:rPr>
          <w:rFonts w:ascii="Times New Roman" w:hAnsi="Times New Roman"/>
          <w:b/>
          <w:caps w:val="false"/>
          <w:smallCaps w:val="false"/>
          <w:sz w:val="20"/>
        </w:rPr>
        <w:t>SCHEDULE OF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C</w:t>
      </w:r>
      <w:r>
        <w:rPr>
          <w:rFonts w:ascii="Times New Roman" w:hAnsi="Times New Roman"/>
          <w:caps w:val="false"/>
          <w:smallCaps w:val="false"/>
          <w:sz w:val="20"/>
        </w:rPr>
        <w:br/>
      </w:r>
      <w:r>
        <w:rPr>
          <w:rFonts w:ascii="Times New Roman" w:hAnsi="Times New Roman"/>
          <w:b/>
          <w:caps w:val="false"/>
          <w:smallCaps w:val="false"/>
          <w:sz w:val="20"/>
        </w:rPr>
        <w:t>FORM OF NEW PENNY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D</w:t>
      </w:r>
      <w:r>
        <w:rPr>
          <w:rFonts w:ascii="Times New Roman" w:hAnsi="Times New Roman"/>
          <w:caps w:val="false"/>
          <w:smallCaps w:val="false"/>
          <w:sz w:val="20"/>
        </w:rPr>
        <w:br/>
      </w:r>
      <w:r>
        <w:rPr>
          <w:rFonts w:ascii="Times New Roman" w:hAnsi="Times New Roman"/>
          <w:b/>
          <w:caps w:val="false"/>
          <w:smallCaps w:val="false"/>
          <w:sz w:val="20"/>
        </w:rPr>
        <w:t>FORM OF FINANCING AGREEMENT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6" w:name="ex_995040.htm"/>
      <w:bookmarkStart w:id="7" w:name="ksex_995040"/>
      <w:bookmarkEnd w:id="6"/>
      <w:bookmarkEnd w:id="7"/>
      <w:r>
        <w:rPr>
          <w:rFonts w:ascii="Times New Roman;Times;serif" w:hAnsi="Times New Roman;Times;serif"/>
          <w:b/>
          <w:sz w:val="20"/>
        </w:rPr>
        <w:t>Exhibit 10.2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LIMITED WAIVER AND AMENDMENT NO. 3 TO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This LIMITED WAIVER AND AMENDMENT NO. 3 TO FINANCING AGREEMENT (this “</w:t>
      </w:r>
      <w:r>
        <w:rPr>
          <w:rFonts w:ascii="Times New Roman" w:hAnsi="Times New Roman"/>
          <w:caps w:val="false"/>
          <w:smallCaps w:val="false"/>
          <w:sz w:val="20"/>
          <w:u w:val="single"/>
        </w:rPr>
        <w:t>Amendment</w:t>
      </w:r>
      <w:r>
        <w:rPr>
          <w:rFonts w:ascii="Times New Roman" w:hAnsi="Times New Roman"/>
          <w:caps w:val="false"/>
          <w:smallCaps w:val="false"/>
          <w:sz w:val="20"/>
        </w:rPr>
        <w:t>”) dated as of July 29, 2026, is made by and among Accuray Incorporated, a Delaware corporation (the “</w:t>
      </w:r>
      <w:r>
        <w:rPr>
          <w:rFonts w:ascii="Times New Roman" w:hAnsi="Times New Roman"/>
          <w:caps w:val="false"/>
          <w:smallCaps w:val="false"/>
          <w:sz w:val="20"/>
          <w:u w:val="single"/>
        </w:rPr>
        <w:t>Administrative Borrower</w:t>
      </w:r>
      <w:r>
        <w:rPr>
          <w:rFonts w:ascii="Times New Roman" w:hAnsi="Times New Roman"/>
          <w:caps w:val="false"/>
          <w:smallCaps w:val="false"/>
          <w:sz w:val="20"/>
        </w:rPr>
        <w:t>”), the Guarantors party hereto, the Consenting Lenders (as defined below) party hereto, TCW Asset Management Company LLC, as Administrative Agent and Collateral Agent (together with its permitted successors in capacity as the administrative agent and the collateral agent, the “</w:t>
      </w:r>
      <w:r>
        <w:rPr>
          <w:rFonts w:ascii="Times New Roman" w:hAnsi="Times New Roman"/>
          <w:caps w:val="false"/>
          <w:smallCaps w:val="false"/>
          <w:sz w:val="20"/>
          <w:u w:val="single"/>
        </w:rPr>
        <w:t>Administrative Agent</w:t>
      </w:r>
      <w:r>
        <w:rPr>
          <w:rFonts w:ascii="Times New Roman" w:hAnsi="Times New Roman"/>
          <w:caps w:val="false"/>
          <w:smallCaps w:val="false"/>
          <w:sz w:val="20"/>
        </w:rPr>
        <w:t>”) and Wingspire Capital LLC, as Servicing Agent (in such capacity, including any successor thereto in such capacity, the “</w:t>
      </w:r>
      <w:r>
        <w:rPr>
          <w:rFonts w:ascii="Times New Roman" w:hAnsi="Times New Roman"/>
          <w:caps w:val="false"/>
          <w:smallCaps w:val="false"/>
          <w:sz w:val="20"/>
          <w:u w:val="single"/>
        </w:rPr>
        <w:t>Servicing Agent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the Administrative Borrower, the Guarantors, the undersigned Consenting Lenders, the Administrative Agent and the Servicing Agent are party to that certain Financing Agreement, dated as of June 6, 2025 (as amended, restated, amended and restated, modified or otherwise supplemented and in effect from time to time prior to the date hereof, the “</w:t>
      </w:r>
      <w:r>
        <w:rPr>
          <w:rFonts w:ascii="Times New Roman" w:hAnsi="Times New Roman"/>
          <w:caps w:val="false"/>
          <w:smallCaps w:val="false"/>
          <w:sz w:val="20"/>
          <w:u w:val="single"/>
        </w:rPr>
        <w:t>Existing Credit Agreement</w:t>
      </w:r>
      <w:r>
        <w:rPr>
          <w:rFonts w:ascii="Times New Roman" w:hAnsi="Times New Roman"/>
          <w:caps w:val="false"/>
          <w:smallCaps w:val="false"/>
          <w:sz w:val="20"/>
        </w:rPr>
        <w:t>”; the Existing Credit Agreement as amended by this Amendment, the “</w:t>
      </w:r>
      <w:r>
        <w:rPr>
          <w:rFonts w:ascii="Times New Roman" w:hAnsi="Times New Roman"/>
          <w:caps w:val="false"/>
          <w:smallCaps w:val="false"/>
          <w:sz w:val="20"/>
          <w:u w:val="single"/>
        </w:rPr>
        <w:t>Amended Credit 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as of the date hereof, certain Defaults or Events of Default have occurred and are continuing pursuant to (i) Section 9.01(c)(i) of the Existing Credit Agreement due to the Loan Parties’ failure to comply with the Liquidity covenant set forth in Section 7.03(c) of the Credit Agreement for the Fiscal Quarter ending June 30, 2026, and (ii) Section 9.01(d) of the Existing Credit Agreement due to the Loan Parties’ failure to comply with Sections 5.04(e) and 7.01(u) of the Credit Agreement requiring the Loan Parties to comply with the transition requirements of Section 5 of Schedule 7.01(u) by no later than July 1, 2026 (clauses (i) and (ii), collectively, the “</w:t>
      </w:r>
      <w:r>
        <w:rPr>
          <w:rFonts w:ascii="Times New Roman" w:hAnsi="Times New Roman"/>
          <w:caps w:val="false"/>
          <w:smallCaps w:val="false"/>
          <w:sz w:val="20"/>
          <w:u w:val="single"/>
        </w:rPr>
        <w:t>Existing Events of Default</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the avoidance of doubt, with respect to clause (ii), the foregoing is solely with respect to compliance with such transition requirements by July 1, 2026 and does not constitute a waiver of the requirement to comply with such post-closing obligations as otherwise set forth in Schedule 7.01(u) of the Amended Credit Agreement; and, together with any Default or Event of Default that has or may have arisen out of (x) any representation, warranty, certification or statement of fact made or deemed to have been made by any Loan Party in any Loan Document or in any other document delivered in connection with any Loan Document, in any case, prior to the Amendment No. 3 Effective Date, being incorrect in any material respect, or (y) the failure to provide notice in accordance with any of the foregoing, in each case of subclauses (x) and (y), solely due to the existence of the Existing Events of Default, collectively, the “</w:t>
      </w:r>
      <w:r>
        <w:rPr>
          <w:rFonts w:ascii="Times New Roman" w:hAnsi="Times New Roman"/>
          <w:caps w:val="false"/>
          <w:smallCaps w:val="false"/>
          <w:sz w:val="20"/>
          <w:u w:val="single"/>
        </w:rPr>
        <w:t>Subject Defaults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in accordance with the provisions of Section 12.02 of the Existing Credit Agreement, the Administrative Borrower has requested that the Lenders waive the Subject Defaults and agree to certain modifications to the Existing Credit Agreement as set forth herein, and the Administrative Borrower, the Lenders party hereto constituting the Required Lenders as of the date hereof (the “</w:t>
      </w:r>
      <w:r>
        <w:rPr>
          <w:rFonts w:ascii="Times New Roman" w:hAnsi="Times New Roman"/>
          <w:caps w:val="false"/>
          <w:smallCaps w:val="false"/>
          <w:sz w:val="20"/>
          <w:u w:val="single"/>
        </w:rPr>
        <w:t>Consenting Lenders</w:t>
      </w:r>
      <w:r>
        <w:rPr>
          <w:rFonts w:ascii="Times New Roman" w:hAnsi="Times New Roman"/>
          <w:caps w:val="false"/>
          <w:smallCaps w:val="false"/>
          <w:sz w:val="20"/>
        </w:rPr>
        <w:t>”) and the Administrative Agent each desire to waive the Subject Defaults and amend the Existing Credit Agreement on the terms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in accordance with the provisions of Section 12.02 of the Existing Credit Agreement, the Consenting Lenders authorize and direct the Administrative Agent to enter into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premises and covenants contained herein and for other good and valuable consideration, the receipt and sufficiency of which are hereby acknowledged,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Section 1.         </w:t>
      </w:r>
      <w:r>
        <w:rPr>
          <w:rFonts w:ascii="Times New Roman" w:hAnsi="Times New Roman"/>
          <w:caps w:val="false"/>
          <w:smallCaps w:val="false"/>
          <w:sz w:val="20"/>
          <w:u w:val="single"/>
        </w:rPr>
        <w:t>Definitions</w:t>
      </w:r>
      <w:r>
        <w:rPr>
          <w:rFonts w:ascii="Times New Roman" w:hAnsi="Times New Roman"/>
          <w:caps w:val="false"/>
          <w:smallCaps w:val="false"/>
          <w:sz w:val="20"/>
        </w:rPr>
        <w:t xml:space="preserve">. Except as otherwise defined in this Amendment, terms defined in the Amended Credit Agreement are used herein as defined therein. The interpretative provisions of Article I of the Amended Credit Agreement are hereby incorporated herein, </w:t>
      </w:r>
      <w:r>
        <w:rPr>
          <w:rFonts w:ascii="Times New Roman" w:hAnsi="Times New Roman"/>
          <w:i/>
          <w:caps w:val="false"/>
          <w:smallCaps w:val="false"/>
          <w:sz w:val="20"/>
        </w:rPr>
        <w:t>mutatis mutandis</w:t>
      </w:r>
      <w:r>
        <w:rPr>
          <w:rFonts w:ascii="Times New Roman" w:hAnsi="Times New Roman"/>
          <w:caps w:val="false"/>
          <w:smallCaps w:val="false"/>
          <w:sz w:val="20"/>
        </w:rPr>
        <w:t>. This Amendment shall constitute a Loan Document for all purposes of the Amended Credit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Section 2.         </w:t>
      </w:r>
      <w:r>
        <w:rPr>
          <w:rFonts w:ascii="Times New Roman" w:hAnsi="Times New Roman"/>
          <w:caps w:val="false"/>
          <w:smallCaps w:val="false"/>
          <w:sz w:val="20"/>
          <w:u w:val="single"/>
        </w:rPr>
        <w:t>Limited Waiver</w:t>
      </w:r>
      <w:r>
        <w:rPr>
          <w:rFonts w:ascii="Times New Roman" w:hAnsi="Times New Roman"/>
          <w:caps w:val="false"/>
          <w:smallCaps w:val="false"/>
          <w:sz w:val="20"/>
        </w:rPr>
        <w:t xml:space="preserve">. Subject to the satisfaction of each of the conditions set forth in </w:t>
      </w:r>
      <w:r>
        <w:rPr>
          <w:rFonts w:ascii="Times New Roman" w:hAnsi="Times New Roman"/>
          <w:caps w:val="false"/>
          <w:smallCaps w:val="false"/>
          <w:sz w:val="20"/>
          <w:u w:val="single"/>
        </w:rPr>
        <w:t>Section 5</w:t>
      </w:r>
      <w:r>
        <w:rPr>
          <w:rFonts w:ascii="Times New Roman" w:hAnsi="Times New Roman"/>
          <w:caps w:val="false"/>
          <w:smallCaps w:val="false"/>
          <w:sz w:val="20"/>
        </w:rPr>
        <w:t xml:space="preserve"> hereof, effective upon the Amendment No. 3 Effective Date, the Consenting Lenders hereby waive the Subject Defaults. The waiver set forth in this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is effective solely for the purposes set forth herein and shall be limited precisely as written and shall not be deemed to (w) waive, release, modify or limit any Loan Party’s obligations to otherwise comply with all terms and conditions of the Amended Credit Agreement and the other Loan Documents, (x) except as expressly provided herein, be a consent to any amendment, waiver or modification of any term or condition of the Amended Credit Agreement or of any other Loan Document, (y) waive any future Default or Event of Default or (z) prejudice any right or rights that any Agent or any Lender may have or may have in the future under or in connection with the Amended Credit Agreement or any other Loan Document, except as expressly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Section 3.         </w:t>
      </w:r>
      <w:r>
        <w:rPr>
          <w:rFonts w:ascii="Times New Roman" w:hAnsi="Times New Roman"/>
          <w:caps w:val="false"/>
          <w:smallCaps w:val="false"/>
          <w:sz w:val="20"/>
          <w:u w:val="single"/>
        </w:rPr>
        <w:t>Amendment</w:t>
      </w:r>
      <w:r>
        <w:rPr>
          <w:rFonts w:ascii="Times New Roman" w:hAnsi="Times New Roman"/>
          <w:caps w:val="false"/>
          <w:smallCaps w:val="false"/>
          <w:sz w:val="20"/>
        </w:rPr>
        <w:t>. In accordance with Section 12.02 of the Existing Credit Agreement and subject to the occurrence of the Amendment No. 3 Effective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7"/>
        <w:gridCol w:w="9988"/>
      </w:tblGrid>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99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Existing Credit Agreement is hereby amended to delete bold, stricken text (indicated textually in the same manner as the following example: </w:t>
            </w:r>
            <w:r>
              <w:rPr>
                <w:rFonts w:ascii="Times New Roman" w:hAnsi="Times New Roman"/>
                <w:b/>
                <w:caps w:val="false"/>
                <w:smallCaps w:val="false"/>
                <w:strike/>
                <w:sz w:val="20"/>
              </w:rPr>
              <w:t>stricken text</w:t>
            </w:r>
            <w:r>
              <w:rPr>
                <w:rFonts w:ascii="Times New Roman" w:hAnsi="Times New Roman"/>
                <w:caps w:val="false"/>
                <w:smallCaps w:val="false"/>
                <w:sz w:val="20"/>
              </w:rPr>
              <w:t xml:space="preserve">) and to add the bold, double-underlined text (indicated textually in the same manner as the following example: </w:t>
            </w:r>
            <w:r>
              <w:rPr>
                <w:rFonts w:ascii="Times New Roman" w:hAnsi="Times New Roman"/>
                <w:b/>
                <w:caps w:val="false"/>
                <w:smallCaps w:val="false"/>
                <w:sz w:val="20"/>
              </w:rPr>
              <w:t>double-underlined text</w:t>
            </w:r>
            <w:r>
              <w:rPr>
                <w:rFonts w:ascii="Times New Roman" w:hAnsi="Times New Roman"/>
                <w:caps w:val="false"/>
                <w:smallCaps w:val="false"/>
                <w:sz w:val="20"/>
              </w:rPr>
              <w:t xml:space="preserve">) as set forth in the pages of the Amended Credit Agreement attached as </w:t>
            </w:r>
            <w:r>
              <w:rPr>
                <w:rFonts w:ascii="Times New Roman" w:hAnsi="Times New Roman"/>
                <w:caps w:val="false"/>
                <w:smallCaps w:val="false"/>
                <w:sz w:val="20"/>
                <w:u w:val="single"/>
              </w:rPr>
              <w:t>Exhibit A</w:t>
            </w:r>
            <w:r>
              <w:rPr>
                <w:rFonts w:ascii="Times New Roman" w:hAnsi="Times New Roman"/>
                <w:caps w:val="false"/>
                <w:smallCaps w:val="false"/>
                <w:sz w:val="20"/>
              </w:rPr>
              <w:t> hereto;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w:t>
            </w:r>
          </w:p>
        </w:tc>
        <w:tc>
          <w:tcPr>
            <w:tcW w:w="9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Exhibit G [Form of Borrowing Base Certificate] of the Existing Credit Agreement is hereby amended and replaced with Exhibit G attached as </w:t>
            </w:r>
            <w:r>
              <w:rPr>
                <w:rFonts w:ascii="Times New Roman" w:hAnsi="Times New Roman"/>
                <w:caps w:val="false"/>
                <w:smallCaps w:val="false"/>
                <w:sz w:val="20"/>
                <w:u w:val="single"/>
              </w:rPr>
              <w:t>Exhibit B</w:t>
            </w:r>
            <w:r>
              <w:rPr>
                <w:rFonts w:ascii="Times New Roman" w:hAnsi="Times New Roman"/>
                <w:caps w:val="false"/>
                <w:smallCaps w:val="false"/>
                <w:sz w:val="20"/>
              </w:rPr>
              <w:t> hereto;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05"/>
        <w:gridCol w:w="9840"/>
      </w:tblGrid>
      <w:tr>
        <w:trPr/>
        <w:tc>
          <w:tcPr>
            <w:tcW w:w="60"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(iii)</w:t>
            </w:r>
          </w:p>
        </w:tc>
        <w:tc>
          <w:tcPr>
            <w:tcW w:w="98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Exhibit O [Form of Amendment No. 3 Penny Warrants] attached as </w:t>
            </w:r>
            <w:r>
              <w:rPr>
                <w:rFonts w:ascii="Times New Roman" w:hAnsi="Times New Roman"/>
                <w:caps w:val="false"/>
                <w:smallCaps w:val="false"/>
                <w:sz w:val="20"/>
                <w:u w:val="single"/>
              </w:rPr>
              <w:t>Exhibit C</w:t>
            </w:r>
            <w:r>
              <w:rPr>
                <w:rFonts w:ascii="Times New Roman" w:hAnsi="Times New Roman"/>
                <w:caps w:val="false"/>
                <w:smallCaps w:val="false"/>
                <w:sz w:val="20"/>
              </w:rPr>
              <w:t> hereto is hereby attached as a new Exhibit O to the Existing Credit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7"/>
        <w:gridCol w:w="9888"/>
      </w:tblGrid>
      <w:tr>
        <w:trPr/>
        <w:tc>
          <w:tcPr>
            <w:tcW w:w="60"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(iv)</w:t>
            </w:r>
          </w:p>
        </w:tc>
        <w:tc>
          <w:tcPr>
            <w:tcW w:w="98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Revolving Credit Commitments of the Revolving Loan Lenders and the Delayed Draw Term Loan Commitments of the Delayed Draw Term Lenders set forth on Schedule 1.01(A) (Lenders and Lenders’ Commitments) of the Existing Credit Agreement is hereby amended and replaced with the Revolving Credit Commitments of the Revolving Loan Lenders and the Delayed Draw Term Loan Commitments of the Delayed Draw Term Lenders set forth on Schedule 1.01(A) attached as </w:t>
            </w:r>
            <w:r>
              <w:rPr>
                <w:rFonts w:ascii="Times New Roman" w:hAnsi="Times New Roman"/>
                <w:caps w:val="false"/>
                <w:smallCaps w:val="false"/>
                <w:sz w:val="20"/>
                <w:u w:val="single"/>
              </w:rPr>
              <w:t>Exhibit D</w:t>
            </w:r>
            <w:r>
              <w:rPr>
                <w:rFonts w:ascii="Times New Roman" w:hAnsi="Times New Roman"/>
                <w:caps w:val="false"/>
                <w:smallCaps w:val="false"/>
                <w:sz w:val="20"/>
              </w:rPr>
              <w:t> hereto;</w:t>
            </w:r>
          </w:p>
        </w:tc>
      </w:tr>
    </w:tbl>
    <w:p>
      <w:pPr>
        <w:pStyle w:val="TextBody"/>
        <w:bidi w:val="0"/>
        <w:spacing w:before="0" w:after="0"/>
        <w:ind w:left="0" w:right="0" w:hanging="0"/>
        <w:jc w:val="both"/>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60"/>
        <w:gridCol w:w="245"/>
        <w:gridCol w:w="9770"/>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w:t>
            </w:r>
          </w:p>
        </w:tc>
        <w:tc>
          <w:tcPr>
            <w:tcW w:w="97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5 of Schedule 7.01(u) of the Existing Credit Agreement is hereby amended and restated in its entirety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45" w:type="dxa"/>
        <w:jc w:val="left"/>
        <w:tblInd w:w="0" w:type="dxa"/>
        <w:tblLayout w:type="fixed"/>
        <w:tblCellMar>
          <w:top w:w="0" w:type="dxa"/>
          <w:left w:w="0" w:type="dxa"/>
          <w:bottom w:w="0" w:type="dxa"/>
          <w:right w:w="0" w:type="dxa"/>
        </w:tblCellMar>
      </w:tblPr>
      <w:tblGrid>
        <w:gridCol w:w="60"/>
        <w:gridCol w:w="60"/>
        <w:gridCol w:w="132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ind w:left="0" w:right="0" w:hanging="0"/>
              <w:jc w:val="both"/>
              <w:rPr/>
            </w:pPr>
            <w:r>
              <w:rPr/>
              <w:t>“</w:t>
            </w:r>
            <w:r>
              <w:rPr>
                <w:rFonts w:ascii="Times New Roman;Times;serif" w:hAnsi="Times New Roman;Times;serif"/>
                <w:sz w:val="20"/>
              </w:rPr>
              <w:t>5. [Reserved].”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7"/>
        <w:gridCol w:w="9898"/>
      </w:tblGrid>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w:t>
            </w:r>
          </w:p>
        </w:tc>
        <w:tc>
          <w:tcPr>
            <w:tcW w:w="98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After giving effect to the cancellation of the Converted Debt (as defined in the Amendment No. 3 Securities Purchase Agreement) in connection with the exchange of such Converted Debt for the Preferred Shares (as defined in the Amendment No. 3 Securities Purchase Agreement) and the issuance of the New Penny Warrants (as defined in the Amendment No. 3 Securities Purchase Agreement), the outstanding principal amount of the Term Loan B of each Term Loan B Lender and the outstanding principal amount of the Delayed Draw Term Loans of each Delayed Draw Term Lender is, in each case, as set forth on Schedule I hereto. For the avoidance of doubt, all of the interest that has accrued with respect to the Converted Debt under the Credit Agreement as of the Amendment No. 3 Effective Date shall be due and payable in full in cash on the first interest payment date occurring after the Amendment No. 3 Effective Date. By their signatures hereto, (x) each Term Loan B Lender hereby confirms the conversion of its portion of the Converted Debt into Preferred Shares and the deemed satisfaction of such portion of the Term Loan B held by such Term Loan B Lender that is equal to such Term Loan B Lender’s portion of the portion of the Converted Debt consisting of Term Loan B and (y) each Delayed Draw Term Lender hereby confirms the conversion of its portion of the Converted Debt into Preferred Shares and the deemed satisfaction of such portion of the Delayed Draw Term Loans held by such Delayed Draw Term Lender that is equal to such Delayed Draw Term Lender’s portion of the portion of the Converted Debt consisting of Delayed Draw Term Loans. Notwithstanding the foregoing, or anything herein, in any other Loan Document or in the Amendment No. 3 Securities Purchase Agreement to the contrary, the Loan Parties and the Lenders hereby acknowledge and agree that, to the extent that the Amendment No. 3 Securities Purchase Agreement is terminated as a result of Accuray’s failure to obtain the necessary shareholder approvals therefor (or for any other reason pursuant to Section 8 thereof), the conversion of the Converted Debt shall be </w:t>
            </w:r>
            <w:r>
              <w:rPr>
                <w:rFonts w:ascii="Times New Roman" w:hAnsi="Times New Roman"/>
                <w:i/>
                <w:caps w:val="false"/>
                <w:smallCaps w:val="false"/>
                <w:sz w:val="20"/>
              </w:rPr>
              <w:t>void ab initio</w:t>
            </w:r>
            <w:r>
              <w:rPr>
                <w:rFonts w:ascii="Times New Roman" w:hAnsi="Times New Roman"/>
                <w:caps w:val="false"/>
                <w:smallCaps w:val="false"/>
                <w:sz w:val="20"/>
              </w:rPr>
              <w:t>, the Converted Debt shall be deemed to never have been converted, and all interest that would have accrued under the Amended Credit Agreement on such portion of the Term Loan B and Delayed Draw Term Loans that otherwise would have constituted the Converted Debt from the date of such purported conversion until such date of termination of the Amendment No. 3 Securities Purchase Agreement shall be due and payable in full in cash to the applicable Term Loan B Lenders and Delayed Draw Term Lenders.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16"/>
        <w:gridCol w:w="9829"/>
      </w:tblGrid>
      <w:tr>
        <w:trPr/>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w:t>
            </w:r>
          </w:p>
        </w:tc>
        <w:tc>
          <w:tcPr>
            <w:tcW w:w="98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$15,000,000 of the outstanding principal balance of the Term Loan A shall be converted to outstanding funded Revolving Loans, such that after giving effect to such conversion, the aggregate outstanding principal amount of the Term Loan A is equal to $13,400,000 (it being understood and agreed that, after giving effect to such conversion of the Term Loan A on the Amendment No. 3 Effective Date, the principal amount of the Term Loan A of the Term Loan A Lender is as set forth on Schedule II hereto) and the outstanding principal amount of the Revolving Loans is equal to $20,000,000.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Section 4.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Each Loan Party represents and warrants to the Administrative Agent and Consenting Lenders that, after giving effect to the terms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representations and warranties set forth in Article VI of the Amended Credit Agreement, and in each of the other Loan Documents, are true, complete and correct in all material respects on the date hereof as if made on and as of the date hereof (or, if any such representation or warranty is expressly stated to have been made as of a specific date, such representation or warranty shall be true and correct in all material respects as of such specific date),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and as if each reference to “this Amendment” in this Section 4 included reference to the Amended Credit Agreement (it being understood and agreed that it shall be deemed to be an Event of Default under Section 9.01(b) of the Amended Credit Agreement, subject to the grace period therein, if any of the foregoing representations and warranties shall prove to have been false in any material respect when made,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 Default or Event of Default has occurred and is continuing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Section 5.         </w:t>
      </w:r>
      <w:r>
        <w:rPr>
          <w:rFonts w:ascii="Times New Roman" w:hAnsi="Times New Roman"/>
          <w:caps w:val="false"/>
          <w:smallCaps w:val="false"/>
          <w:sz w:val="20"/>
          <w:u w:val="single"/>
        </w:rPr>
        <w:t>Conditions Precedent</w:t>
      </w:r>
      <w:r>
        <w:rPr>
          <w:rFonts w:ascii="Times New Roman" w:hAnsi="Times New Roman"/>
          <w:caps w:val="false"/>
          <w:smallCaps w:val="false"/>
          <w:sz w:val="20"/>
        </w:rPr>
        <w:t>. This Amendment shall become effective upon satisfaction of the following conditions (the date of satisfaction or waiver of the following conditions, the “</w:t>
      </w:r>
      <w:r>
        <w:rPr>
          <w:rFonts w:ascii="Times New Roman" w:hAnsi="Times New Roman"/>
          <w:caps w:val="false"/>
          <w:smallCaps w:val="false"/>
          <w:sz w:val="20"/>
          <w:u w:val="single"/>
        </w:rPr>
        <w:t>Amendment No. 3 Effective Date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Execution</w:t>
      </w:r>
      <w:r>
        <w:rPr>
          <w:rFonts w:ascii="Times New Roman" w:hAnsi="Times New Roman"/>
          <w:caps w:val="false"/>
          <w:smallCaps w:val="false"/>
          <w:sz w:val="20"/>
        </w:rPr>
        <w:t>. The Administrative Agent (or its counsel) shall have received from the Administrative Borrower and the Consenting Lenders either (i) a counterpart of this Amendment signed on behalf of each such party or (ii) written evidence satisfactory to the Administrative Agent (which may include telecopy or electronic transmission (e.g., “pdf”) of a signed signature page of this Amendment) that such party has signed a counterpart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Payment of Fees and Expenses</w:t>
      </w:r>
      <w:r>
        <w:rPr>
          <w:rFonts w:ascii="Times New Roman" w:hAnsi="Times New Roman"/>
          <w:caps w:val="false"/>
          <w:smallCaps w:val="false"/>
          <w:sz w:val="20"/>
        </w:rPr>
        <w:t>. (x) Each Agent shall have received reimbursement or payment of all reasonable and documented out-of-pocket expenses required to be reimbursed or paid by the Administrative Borrower pursuant to the Amended Credit Agreement (including the documented fees, disbursements and other charges of all counsel to the Agents and the Consenting Lenders) and (y) the Revolving Lenders and Term Loan A Lenders shall have received the Amendment No. 3 Supplemental Premium in the amount of $250,000, for distribution to the applicable Lenders in accordance with the Agreement Among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Amendment No. 3 Effective Date Certificate</w:t>
      </w:r>
      <w:r>
        <w:rPr>
          <w:rFonts w:ascii="Times New Roman" w:hAnsi="Times New Roman"/>
          <w:caps w:val="false"/>
          <w:smallCaps w:val="false"/>
          <w:sz w:val="20"/>
        </w:rPr>
        <w:t xml:space="preserve">. The Administrative Borrower shall have delivered to the Administrative Agent an originally executed certificate signed by an Authorized Officer of the Administrative Borrower certifying as to the matters specified in </w:t>
      </w:r>
      <w:r>
        <w:rPr>
          <w:rFonts w:ascii="Times New Roman" w:hAnsi="Times New Roman"/>
          <w:caps w:val="false"/>
          <w:smallCaps w:val="false"/>
          <w:sz w:val="20"/>
          <w:u w:val="single"/>
        </w:rPr>
        <w:t>Section 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Secretary’s Certificate</w:t>
      </w:r>
      <w:r>
        <w:rPr>
          <w:rFonts w:ascii="Times New Roman" w:hAnsi="Times New Roman"/>
          <w:caps w:val="false"/>
          <w:smallCaps w:val="false"/>
          <w:sz w:val="20"/>
        </w:rPr>
        <w:t>. The Administrative Agent shall have received a certificate of an Authorized Officer of each Loan Party, certifying (A)(x) as to copies of the Governing Documents of such Loan Party, together with all amendments thereto (including, without limitation, a true and complete copy of the charter, certificate of formation (or the equivalent in another jurisdiction), certificate of limited partnership, internal registers (if any), business registration certificate (if any) and/ or other publicly filed organizational document of each Loan Party certified as of a recent date not more than 30 days prior to the Effective Date by an appropriate official of the jurisdiction of organization of such Loan Party which shall set forth the same complete name of such Loan Party as is set forth herein and the organizational number of such Loan Party, if an organizational number is issued in such jurisdiction) or (y) there being no changes to such documents since delivery of the same to the Administrative Agent on the Closing Date, (B) a certificate (if applicable) of the appropriate official(s) of the jurisdiction of organization certifying as of a recent date not more than 30 days prior to the Amendment No. 3 Effective Date as to the subsistence in good standing (or equivalent) of, and the payment of franchise or similar taxes (if applicable) by, such Loan Party in such jurisdiction, and (C) as to a copy of the resolutions or written consents of such Loan Party authorizing the execution, delivery and performance by such Loan Party of this Amendment and each document executed in connection herewith, including, without limitation, in the case of the Administrative Borrower, the Amendment No. 3 Securities Purchase Agreement and the Amendment No. 3 Penny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xml:space="preserve">. The representations and warranties set forth in Article VI of the Amended Credit Agreement, </w:t>
      </w:r>
      <w:r>
        <w:rPr>
          <w:rFonts w:ascii="Times New Roman" w:hAnsi="Times New Roman"/>
          <w:caps w:val="false"/>
          <w:smallCaps w:val="false"/>
          <w:sz w:val="20"/>
          <w:u w:val="single"/>
        </w:rPr>
        <w:t>Section 4</w:t>
      </w:r>
      <w:r>
        <w:rPr>
          <w:rFonts w:ascii="Times New Roman" w:hAnsi="Times New Roman"/>
          <w:caps w:val="false"/>
          <w:smallCaps w:val="false"/>
          <w:sz w:val="20"/>
        </w:rPr>
        <w:t xml:space="preserve"> of this Amendment, and in each of the other Loan Documents, shall be true and complete in all material respects on the date hereof as if made on and as of the date hereof (or, if any such representation or warranty is expressly stated to have been made as of a specific date, such representation or warranty shall be true and correct in all material respects as of such specific date), and as if each reference in said </w:t>
      </w:r>
      <w:r>
        <w:rPr>
          <w:rFonts w:ascii="Times New Roman" w:hAnsi="Times New Roman"/>
          <w:caps w:val="false"/>
          <w:smallCaps w:val="false"/>
          <w:sz w:val="20"/>
          <w:u w:val="single"/>
        </w:rPr>
        <w:t>Section 4</w:t>
      </w:r>
      <w:r>
        <w:rPr>
          <w:rFonts w:ascii="Times New Roman" w:hAnsi="Times New Roman"/>
          <w:caps w:val="false"/>
          <w:smallCaps w:val="false"/>
          <w:sz w:val="20"/>
        </w:rPr>
        <w:t xml:space="preserve"> to this Amendment included reference to the Amended Credit Agreement (it being understood and agreed that it shall be deemed to be an Event of Default under Section 9.01(b) of the Credit Agreement, subject to the grace period therein, if any of the foregoing representations and warranties shall prove to have been false in any material respect when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No Default</w:t>
      </w:r>
      <w:r>
        <w:rPr>
          <w:rFonts w:ascii="Times New Roman" w:hAnsi="Times New Roman"/>
          <w:caps w:val="false"/>
          <w:smallCaps w:val="false"/>
          <w:sz w:val="20"/>
        </w:rPr>
        <w:t>. Immediately after giving effect to this Amendment, no Default or Event of Default shall have occurred and be continuing our would result from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Amendment No. 3 Penny Warrants</w:t>
      </w:r>
      <w:r>
        <w:rPr>
          <w:rFonts w:ascii="Times New Roman" w:hAnsi="Times New Roman"/>
          <w:caps w:val="false"/>
          <w:smallCaps w:val="false"/>
          <w:sz w:val="20"/>
        </w:rPr>
        <w:t>. The Borrower shall have issued to the Term Loan B Lenders their pro rata portion of warrants to purchase 15,253,473 shares of Common Stock at an exercise price of $0.01 per share in substantially the same form as the Amendment No. 3 Penny Warrants, with a copy of each such Amendment No. 3 Penny Warrant to the Servicing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Amendment No. 3 Securities Purchase Agreement</w:t>
      </w:r>
      <w:r>
        <w:rPr>
          <w:rFonts w:ascii="Times New Roman" w:hAnsi="Times New Roman"/>
          <w:caps w:val="false"/>
          <w:smallCaps w:val="false"/>
          <w:sz w:val="20"/>
        </w:rPr>
        <w:t>. The Administrative Agent shall have received a duly executed copy of the Amendment No. 3 Securities Purchase Agreement, in form and substance satisfactory to the Administrative Agent and the Term Loan B Lenders, with a copy to the Servicing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Lien Search Results</w:t>
      </w:r>
      <w:r>
        <w:rPr>
          <w:rFonts w:ascii="Times New Roman" w:hAnsi="Times New Roman"/>
          <w:caps w:val="false"/>
          <w:smallCaps w:val="false"/>
          <w:sz w:val="20"/>
        </w:rPr>
        <w:t>. The Agents shall have received the results of recent lien searches from the appropriate filing offices, including UCC, tax lien, judgment lien, and litigation searches against any Loan Party or its property, in each case in form and substance satisfactory to the Agents, which results shall reflect no Liens other than Liens in favor of the Administrative Agent (for the benefit of the Secured Parties) and other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Promissory Note</w:t>
      </w:r>
      <w:r>
        <w:rPr>
          <w:rFonts w:ascii="Times New Roman" w:hAnsi="Times New Roman"/>
          <w:caps w:val="false"/>
          <w:smallCaps w:val="false"/>
          <w:sz w:val="20"/>
        </w:rPr>
        <w:t>. Wingspire Capital LLC shall have received an amended and restated promissory note duly executed by the Borrowers to evidence its Revolving Credit Commitment as of the Amendment No. 3 Effective Date (after giving effect to this Amendment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Borrowing Base Certificate</w:t>
      </w:r>
      <w:r>
        <w:rPr>
          <w:rFonts w:ascii="Times New Roman" w:hAnsi="Times New Roman"/>
          <w:caps w:val="false"/>
          <w:smallCaps w:val="false"/>
          <w:sz w:val="20"/>
        </w:rPr>
        <w:t>. The Servicing Agent shall have received a Borrowing Base Certificate as of a date acceptable to the Servicing Agent, in form and substance satisfactory to the Servicing Agent, which Borrowing Base Certificate shall reflect the Borrowing Base as calculated prior to the Borrowing Base Reset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Beneficial Ownership Certification</w:t>
      </w:r>
      <w:r>
        <w:rPr>
          <w:rFonts w:ascii="Times New Roman" w:hAnsi="Times New Roman"/>
          <w:caps w:val="false"/>
          <w:smallCaps w:val="false"/>
          <w:sz w:val="20"/>
        </w:rPr>
        <w:t>. The Administrative Agent and the Servicing Agent shall have each received a Beneficial Ownership Certification in relation to any Loan Party that qualifies as a “legal entity customer” under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By executing this Amendment, the Consenting Lenders and the Administrative Agent shall be deemed to have consented to, approved or accepted, or be satisfied with, or have waived, all conditions hereto and to the Amendment No. 3 Effective Date, other than the Revolving Lenders and Term Loan A Lenders receipt of the Amendment No. 3 Supplemental Premium. The Administrative Agent and Consenting Lenders party hereto acknowledge and agree that the Amendment No. 3 Effective Date is the date set forth in the first paragraph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Section 6.         </w:t>
      </w:r>
      <w:r>
        <w:rPr>
          <w:rFonts w:ascii="Times New Roman" w:hAnsi="Times New Roman"/>
          <w:caps w:val="false"/>
          <w:smallCaps w:val="false"/>
          <w:sz w:val="20"/>
          <w:u w:val="single"/>
        </w:rPr>
        <w:t>Conditions Subsequent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Loan Parties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         deliver to the Administrative Agent a duly executed confirmation agreement governed by the laws of Switzerland, in form and substance satisfactory to the Administrative Agent no later than ten (10) Business Days following the Amendment No. 3 Effective Date (or such later date as the Administrative Agent and the Servicing Agent may agree in their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         deliver to the Collateral Agent all certificates representing the Equity Interests in the Swiss Guarantor pledged pursuant to the appliable Security Documents no later than August 28, 2026 (or such later date as the Collateral Agent and the Servicing Agent may agree in their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(iii)         deliver to Wingspire Capital LLC an original amended and restated promissory note duly executed in wet-ink by the Borrowers to evidence such Lender’s Revolving Credit Commitment as of the Amendment No. 3 Effective Date (after giving effect to Amendment No. 3 and the transactions contemplated thereby) no later than August 5, 2026 (or such later date as the Servicing Agent may agree in its reasonable discretion);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(iv)         authorizing resolutions from the Board of Directors and shareholders of the Swiss Guarantor authorizing Amendment No. 3 and all related Loan Documents and ratifying Amendment No. 2 and all related documents no later than August 28, 2026 (or such later date as the Collateral Agent and the Servicing Agent may agree in their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The parties hereto acknowledge and agree that the Loan Parties’ failure to comply with any of the requirements of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shall constitute an immediate Event of Default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Section 7.         </w:t>
      </w:r>
      <w:r>
        <w:rPr>
          <w:rFonts w:ascii="Times New Roman" w:hAnsi="Times New Roman"/>
          <w:caps w:val="false"/>
          <w:smallCaps w:val="false"/>
          <w:sz w:val="20"/>
          <w:u w:val="single"/>
        </w:rPr>
        <w:t>No Novation or Mutual Departure</w:t>
      </w:r>
      <w:r>
        <w:rPr>
          <w:rFonts w:ascii="Times New Roman" w:hAnsi="Times New Roman"/>
          <w:caps w:val="false"/>
          <w:smallCaps w:val="false"/>
          <w:sz w:val="20"/>
        </w:rPr>
        <w:t>. The Administrative Borrower expressly acknowledges and agrees that there has not been, and this Amendment does not constitute or establish, a novation with respect to the Existing Credit Agreement or any other Loan Document, or a mutual departure from the strict terms, provisions, and conditions thereof, other than as specified herein. Except as otherwise expressed herein, the execution, delivery and effectiveness of this Amendment shall not operate as a waiver of any right, power or remedy of the Agents and the Lenders under the Amended Credit Agreement or any of the other Loan Documents, nor constitute a waiver of any provision of the Amended Credit Agreement or any of the other Loan Documents. Except as set forth herein, the Amended Credit Agreement and all other Loan Documents shall remain unchanged and in full force and effect and the Administrative Borrower and each other Loan Party hereby ratifies and confirms its obligations thereunder as of the date hereof. This Amendment shall not constitute a course of dealing between the Loan Parties, on the one hand, and the Administrative Agent and the Consenting Lenders, on the other hand, at variance with the Existing Credit Agreement or any other Loan Document such as to require further notice by the Administrative Agent and the Consenting Lenders to any Loan Party to require strict compliance with the terms of the Amended Credit Agreement and the other Loan Documents in the future, except as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Section 8.         </w:t>
      </w:r>
      <w:r>
        <w:rPr>
          <w:rFonts w:ascii="Times New Roman" w:hAnsi="Times New Roman"/>
          <w:caps w:val="false"/>
          <w:smallCaps w:val="false"/>
          <w:sz w:val="20"/>
          <w:u w:val="single"/>
        </w:rPr>
        <w:t>Confirmation</w:t>
      </w:r>
      <w:r>
        <w:rPr>
          <w:rFonts w:ascii="Times New Roman" w:hAnsi="Times New Roman"/>
          <w:caps w:val="false"/>
          <w:smallCaps w:val="false"/>
          <w:sz w:val="20"/>
        </w:rPr>
        <w:t>. Each Loan Party (a) confirms its obligations under the Loan Documents as of the date hereof, (b) confirms that its obligations under the Amended Credit Agreement as modified hereby are entitled to the benefits of the pledges set forth in the Loan Documents, (c) confirms that its obligations under the Amended Credit Agreement as modified hereby constitute “Obligations” and (d) agrees that the Amended Credit Agreement as modified hereby is the “Credit Agreement” under and for all purposes of the Loan Documents. Each party, by its execution of this Amendment, hereby confirms that the Obligations shall remain in full force and effect as of the date hereof, and such Obligations shall continue to be entitled to the benefits of the grant set forth in the Security Documents. Each Guarantor (a) confirms its guarantee obligations including all guarantees, pledges, grants and other undertakings under the Amended Credit Agreement as of the date hereof, (b) confirms that its obligations under the Amended Credit Agreement as modified hereby are entitled to the benefits of the guarantee set forth in the Guaranty, and (c) confirms that its obligations under the Amended Credit Agreement as modified hereby constitute “Obligations”. Each Loan Party, by its execution of this Amendment hereby confirms that the Guaranteed Obligations shall remain in full force and effect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Section 9.         </w:t>
      </w:r>
      <w:r>
        <w:rPr>
          <w:rFonts w:ascii="Times New Roman" w:hAnsi="Times New Roman"/>
          <w:caps w:val="false"/>
          <w:smallCaps w:val="false"/>
          <w:sz w:val="20"/>
          <w:u w:val="single"/>
        </w:rPr>
        <w:t>Release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of the Loan Parties, on behalf of itself and its respective direct and indirect subsidiaries and controlled Affiliates (each a “</w:t>
      </w:r>
      <w:r>
        <w:rPr>
          <w:rFonts w:ascii="Times New Roman" w:hAnsi="Times New Roman"/>
          <w:caps w:val="false"/>
          <w:smallCaps w:val="false"/>
          <w:sz w:val="20"/>
          <w:u w:val="single"/>
        </w:rPr>
        <w:t>Company Party</w:t>
      </w:r>
      <w:r>
        <w:rPr>
          <w:rFonts w:ascii="Times New Roman" w:hAnsi="Times New Roman"/>
          <w:caps w:val="false"/>
          <w:smallCaps w:val="false"/>
          <w:sz w:val="20"/>
        </w:rPr>
        <w:t>” and collectively the “</w:t>
      </w:r>
      <w:r>
        <w:rPr>
          <w:rFonts w:ascii="Times New Roman" w:hAnsi="Times New Roman"/>
          <w:caps w:val="false"/>
          <w:smallCaps w:val="false"/>
          <w:sz w:val="20"/>
          <w:u w:val="single"/>
        </w:rPr>
        <w:t>Company Parties</w:t>
      </w:r>
      <w:r>
        <w:rPr>
          <w:rFonts w:ascii="Times New Roman" w:hAnsi="Times New Roman"/>
          <w:caps w:val="false"/>
          <w:smallCaps w:val="false"/>
          <w:sz w:val="20"/>
        </w:rPr>
        <w:t>”), hereby releases, acquits and forever discharges each Agent and each Lender, and each of their respective current or former shareholders, members, partners, officers, directors, employees, attorneys, financial advisors, accountants, investment bankers, insurers, reinsurers, agents, representatives and Affiliates (each a “</w:t>
      </w:r>
      <w:r>
        <w:rPr>
          <w:rFonts w:ascii="Times New Roman" w:hAnsi="Times New Roman"/>
          <w:caps w:val="false"/>
          <w:smallCaps w:val="false"/>
          <w:sz w:val="20"/>
          <w:u w:val="single"/>
        </w:rPr>
        <w:t>Lender Party</w:t>
      </w:r>
      <w:r>
        <w:rPr>
          <w:rFonts w:ascii="Times New Roman" w:hAnsi="Times New Roman"/>
          <w:caps w:val="false"/>
          <w:smallCaps w:val="false"/>
          <w:sz w:val="20"/>
        </w:rPr>
        <w:t>” and collectively, the “</w:t>
      </w:r>
      <w:r>
        <w:rPr>
          <w:rFonts w:ascii="Times New Roman" w:hAnsi="Times New Roman"/>
          <w:caps w:val="false"/>
          <w:smallCaps w:val="false"/>
          <w:sz w:val="20"/>
          <w:u w:val="single"/>
        </w:rPr>
        <w:t>Lender Parties</w:t>
      </w:r>
      <w:r>
        <w:rPr>
          <w:rFonts w:ascii="Times New Roman" w:hAnsi="Times New Roman"/>
          <w:caps w:val="false"/>
          <w:smallCaps w:val="false"/>
          <w:sz w:val="20"/>
        </w:rPr>
        <w:t>”), from any and all claims, demands, charges and causes of action (collectively, “</w:t>
      </w:r>
      <w:r>
        <w:rPr>
          <w:rFonts w:ascii="Times New Roman" w:hAnsi="Times New Roman"/>
          <w:caps w:val="false"/>
          <w:smallCaps w:val="false"/>
          <w:sz w:val="20"/>
          <w:u w:val="single"/>
        </w:rPr>
        <w:t>Claims</w:t>
      </w:r>
      <w:r>
        <w:rPr>
          <w:rFonts w:ascii="Times New Roman" w:hAnsi="Times New Roman"/>
          <w:caps w:val="false"/>
          <w:smallCaps w:val="false"/>
          <w:sz w:val="20"/>
        </w:rPr>
        <w:t>”), that have arisen or could have arisen or that could arise in the future on account of, arising out of, relating to, or resulting from any circumstances, conduct, facts, events, transactions, acts, occurrences, statements, representations, misrepresentations or omissions, errors, negligence, breach of contract, tort, violation of law, matter or cause occurring, arising or attributable to the period prior to the Amendment No. 3 Effective Date, which any of the Company Parties has had, now has, or may have in the future against any of the Lender Parties in connection with or arising out of the negotiation, execution and consummation of the Loan Documents or this Amendment, whether known or unknown, in each case, excluding any matters determined by a final, non-appealable judgment of a court of competent jurisdiction to have been caused by or resulted from the fraud, wilful misconduct or gross negligence of such Agent or Lender (the foregoing release being the “</w:t>
      </w:r>
      <w:r>
        <w:rPr>
          <w:rFonts w:ascii="Times New Roman" w:hAnsi="Times New Roman"/>
          <w:caps w:val="false"/>
          <w:smallCaps w:val="false"/>
          <w:sz w:val="20"/>
          <w:u w:val="single"/>
        </w:rPr>
        <w:t>Lender Party Release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It is the intention of the Company Parties in providing the Lender Party Release that the Lender Party Release shall be effective as a bar to each and every Claim mentioned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above, and each of the Company Parties hereby knowingly and voluntarily waives any and all such Claims. Each of the Company Parties expressly consents that the Lender Party Release shall be given full force and effect according to each and all of its express terms and provisions, including those relating to unknown and unsuspected Claims, demands, charges and causes of action (“</w:t>
      </w:r>
      <w:r>
        <w:rPr>
          <w:rFonts w:ascii="Times New Roman" w:hAnsi="Times New Roman"/>
          <w:caps w:val="false"/>
          <w:smallCaps w:val="false"/>
          <w:sz w:val="20"/>
          <w:u w:val="single"/>
        </w:rPr>
        <w:t>Unknown Claims</w:t>
      </w:r>
      <w:r>
        <w:rPr>
          <w:rFonts w:ascii="Times New Roman" w:hAnsi="Times New Roman"/>
          <w:caps w:val="false"/>
          <w:smallCaps w:val="false"/>
          <w:sz w:val="20"/>
        </w:rPr>
        <w:t xml:space="preserve">”) (notwithstanding any state statute that expressly limits the effectiveness of a general release of any Unknown Claims), if any, in connection with or arising out of the acts or omissions by any Lender Party as well as those relating to any other Claims, demands and causes of action mentioned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above. Each Loan Party, on its own behalf and on behalf of the other Company Parties, acknowledges that the foregoing waiver regarding Unknown Claims was bargained for separately. Each Loan Party hereby covenants and agrees from and after the Amendment No. 3 Effective Date (i) not to file, or permit any Company Party to file, any claim, complaint or cause of action, and (ii) not to commence, or permit any Company Party to commence, any suit, action, arbitration or other proceedings with any court, arbitration forum, regulatory or administrative agency, with respect to any Claims released pursuant to the Lender Party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Section 10.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This Amendment shall be limited as written and nothing herein shall be deemed to constitute an amendment or waiver of any other term, provision or condition of any of the Loan Documents in any other instance than as expressly set forth herein or prejudice any right or remedy that any Lender or any Agent may now have or may in the future have under any of the Loan Documents. Except as herein provided, the Amended Credit Agreement shall remain unchanged and in full force and effect. This Amendment, the Amended Credit Agreement and the other Loan Documents constitute the entire agreement among the parties with respect to the subject matter hereof and thereof and supersede all other prior agreements and understandings, both written and verbal, among the parties or any of them with respect to the subject matter hereof. This Amendment may be executed in any number of counterparts, all of which taken together shall constitute one and the same amendatory instrument and any of the parties hereto may execute this Amendment by signing any such counterpart. Delivery of a counterpart by electronic transmission shall be effective as delivery of a manually executed counterpart hereof. The provisions of Section 12.08 of the Amended Credit Agreement are hereby incorporated herein, </w:t>
      </w:r>
      <w:r>
        <w:rPr>
          <w:rFonts w:ascii="Times New Roman" w:hAnsi="Times New Roman"/>
          <w:i/>
          <w:caps w:val="false"/>
          <w:smallCaps w:val="false"/>
          <w:sz w:val="20"/>
        </w:rPr>
        <w:t>mutatis mutandis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THIS AMENDMENT AND THE RIGHTS AND OBLIGATIONS OF THE PARTIES HEREUNDER (INCLUDING, WITHOUT LIMITATION, ANY CLAIMS SOUNDING IN CONTRACT LAW OR TORT LAW ARISING OUT OF THE SUBJECT MATTER HEREOF AND ANY DETERMINATIONS WITH RESPECT TO POST-JUDGMENT INTEREST) SHALL BE GOVERNED BY, AND SHALL BE CONSTRUED AND ENFORCED IN ACCORDANCE WITH, THE LAWS OF THE STATE OF NEW YORK WITHOUT REGARD TO CONFLICT OF LAWS PRINCIPLES THEREOF THAT WOULD RESULT IN THE APPLICATION OF ANY LAW OTHER THAN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Each of the undersigned Consenting Lenders, by its execution hereof, authorizes and directs the Administrative Agent to execute and deliver this Amendment upon the satisfaction of the conditions precedent described above (which shall be conclusively evidenced by such Consenting Lender’s execution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parties hereto have caused this Amendment to be duly executed and delivered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8"/>
        <w:gridCol w:w="371"/>
        <w:gridCol w:w="3713"/>
        <w:gridCol w:w="1193"/>
      </w:tblGrid>
      <w:tr>
        <w:trPr/>
        <w:tc>
          <w:tcPr>
            <w:tcW w:w="4928" w:type="dxa"/>
            <w:tcBorders/>
          </w:tcPr>
          <w:p>
            <w:pPr>
              <w:pStyle w:val="TableContents"/>
              <w:bidi w:val="0"/>
              <w:spacing w:before="0" w:after="0"/>
              <w:ind w:left="0" w:right="0" w:hanging="0"/>
              <w:jc w:val="left"/>
              <w:rPr/>
            </w:pPr>
            <w:r>
              <w:rPr/>
              <w:t> </w:t>
            </w:r>
          </w:p>
        </w:tc>
        <w:tc>
          <w:tcPr>
            <w:tcW w:w="4084" w:type="dxa"/>
            <w:gridSpan w:val="2"/>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ADMINISTRATIVE BORROWER</w:t>
            </w:r>
            <w:r>
              <w:rPr>
                <w:rFonts w:ascii="Times New Roman" w:hAnsi="Times New Roman"/>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ACCURAY INCORPORATED</w:t>
            </w:r>
          </w:p>
        </w:tc>
        <w:tc>
          <w:tcPr>
            <w:tcW w:w="1193" w:type="dxa"/>
            <w:tcBorders/>
          </w:tcPr>
          <w:p>
            <w:pPr>
              <w:pStyle w:val="TableContents"/>
              <w:bidi w:val="0"/>
              <w:spacing w:before="0" w:after="0"/>
              <w:ind w:left="0" w:right="0" w:hanging="0"/>
              <w:jc w:val="left"/>
              <w:rPr/>
            </w:pPr>
            <w:r>
              <w:rPr/>
              <w:t> </w:t>
            </w:r>
          </w:p>
        </w:tc>
      </w:tr>
      <w:tr>
        <w:trPr/>
        <w:tc>
          <w:tcPr>
            <w:tcW w:w="4928" w:type="dxa"/>
            <w:tcBorders/>
          </w:tcPr>
          <w:p>
            <w:pPr>
              <w:pStyle w:val="TableContents"/>
              <w:bidi w:val="0"/>
              <w:spacing w:before="0" w:after="0"/>
              <w:ind w:left="0" w:right="0" w:hanging="0"/>
              <w:jc w:val="left"/>
              <w:rPr/>
            </w:pPr>
            <w:r>
              <w:rPr/>
              <w:t> </w:t>
            </w:r>
          </w:p>
        </w:tc>
        <w:tc>
          <w:tcPr>
            <w:tcW w:w="371" w:type="dxa"/>
            <w:tcBorders/>
          </w:tcPr>
          <w:p>
            <w:pPr>
              <w:pStyle w:val="TableContents"/>
              <w:bidi w:val="0"/>
              <w:spacing w:before="0" w:after="0"/>
              <w:ind w:left="0" w:right="0" w:hanging="0"/>
              <w:jc w:val="left"/>
              <w:rPr/>
            </w:pPr>
            <w:r>
              <w:rPr/>
              <w:t> </w:t>
            </w:r>
          </w:p>
        </w:tc>
        <w:tc>
          <w:tcPr>
            <w:tcW w:w="3713" w:type="dxa"/>
            <w:tcBorders/>
          </w:tcPr>
          <w:p>
            <w:pPr>
              <w:pStyle w:val="TableContents"/>
              <w:bidi w:val="0"/>
              <w:spacing w:before="0" w:after="0"/>
              <w:ind w:left="0" w:right="0" w:hanging="0"/>
              <w:jc w:val="left"/>
              <w:rPr/>
            </w:pPr>
            <w:r>
              <w:rPr/>
              <w:t> </w:t>
            </w:r>
          </w:p>
        </w:tc>
        <w:tc>
          <w:tcPr>
            <w:tcW w:w="1193" w:type="dxa"/>
            <w:tcBorders/>
          </w:tcPr>
          <w:p>
            <w:pPr>
              <w:pStyle w:val="TableContents"/>
              <w:bidi w:val="0"/>
              <w:spacing w:before="0" w:after="0"/>
              <w:ind w:left="0" w:right="0" w:hanging="0"/>
              <w:jc w:val="left"/>
              <w:rPr/>
            </w:pPr>
            <w:r>
              <w:rPr/>
              <w:t> </w:t>
            </w:r>
          </w:p>
        </w:tc>
      </w:tr>
      <w:tr>
        <w:trPr/>
        <w:tc>
          <w:tcPr>
            <w:tcW w:w="4928" w:type="dxa"/>
            <w:tcBorders/>
          </w:tcPr>
          <w:p>
            <w:pPr>
              <w:pStyle w:val="TableContents"/>
              <w:bidi w:val="0"/>
              <w:spacing w:before="0" w:after="0"/>
              <w:ind w:left="0" w:right="0" w:hanging="0"/>
              <w:jc w:val="left"/>
              <w:rPr/>
            </w:pPr>
            <w:r>
              <w:rPr/>
              <w:t> </w:t>
            </w:r>
          </w:p>
        </w:tc>
        <w:tc>
          <w:tcPr>
            <w:tcW w:w="371" w:type="dxa"/>
            <w:tcBorders/>
          </w:tcPr>
          <w:p>
            <w:pPr>
              <w:pStyle w:val="TableContents"/>
              <w:bidi w:val="0"/>
              <w:spacing w:before="0" w:after="0"/>
              <w:ind w:left="0" w:right="0" w:hanging="0"/>
              <w:jc w:val="left"/>
              <w:rPr/>
            </w:pPr>
            <w:r>
              <w:rPr/>
              <w:t> </w:t>
            </w:r>
          </w:p>
        </w:tc>
        <w:tc>
          <w:tcPr>
            <w:tcW w:w="3713" w:type="dxa"/>
            <w:tcBorders/>
            <w:vAlign w:val="bottom"/>
          </w:tcPr>
          <w:p>
            <w:pPr>
              <w:pStyle w:val="TableContents"/>
              <w:bidi w:val="0"/>
              <w:spacing w:before="0" w:after="0"/>
              <w:ind w:left="0" w:right="0" w:hanging="0"/>
              <w:jc w:val="left"/>
              <w:rPr/>
            </w:pPr>
            <w:r>
              <w:rPr/>
              <w:t> </w:t>
            </w:r>
          </w:p>
        </w:tc>
        <w:tc>
          <w:tcPr>
            <w:tcW w:w="1193" w:type="dxa"/>
            <w:tcBorders/>
          </w:tcPr>
          <w:p>
            <w:pPr>
              <w:pStyle w:val="TableContents"/>
              <w:bidi w:val="0"/>
              <w:spacing w:before="0" w:after="0"/>
              <w:ind w:left="0" w:right="0" w:hanging="0"/>
              <w:jc w:val="left"/>
              <w:rPr/>
            </w:pPr>
            <w:r>
              <w:rPr/>
              <w:t> </w:t>
            </w:r>
          </w:p>
        </w:tc>
      </w:tr>
      <w:tr>
        <w:trPr/>
        <w:tc>
          <w:tcPr>
            <w:tcW w:w="4928" w:type="dxa"/>
            <w:tcBorders/>
          </w:tcPr>
          <w:p>
            <w:pPr>
              <w:pStyle w:val="TableContents"/>
              <w:bidi w:val="0"/>
              <w:spacing w:before="0" w:after="0"/>
              <w:ind w:left="0" w:right="0" w:hanging="0"/>
              <w:jc w:val="left"/>
              <w:rPr/>
            </w:pPr>
            <w:r>
              <w:rPr/>
              <w:t> </w:t>
            </w:r>
          </w:p>
        </w:tc>
        <w:tc>
          <w:tcPr>
            <w:tcW w:w="37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13"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Ali Pervaiz</w:t>
            </w:r>
          </w:p>
        </w:tc>
        <w:tc>
          <w:tcPr>
            <w:tcW w:w="1193" w:type="dxa"/>
            <w:tcBorders/>
          </w:tcPr>
          <w:p>
            <w:pPr>
              <w:pStyle w:val="TableContents"/>
              <w:bidi w:val="0"/>
              <w:spacing w:before="0" w:after="0"/>
              <w:ind w:left="0" w:right="0" w:hanging="0"/>
              <w:jc w:val="left"/>
              <w:rPr/>
            </w:pPr>
            <w:r>
              <w:rPr/>
              <w:t> </w:t>
            </w:r>
          </w:p>
        </w:tc>
      </w:tr>
      <w:tr>
        <w:trPr/>
        <w:tc>
          <w:tcPr>
            <w:tcW w:w="4928" w:type="dxa"/>
            <w:tcBorders/>
          </w:tcPr>
          <w:p>
            <w:pPr>
              <w:pStyle w:val="TableContents"/>
              <w:bidi w:val="0"/>
              <w:spacing w:before="0" w:after="0"/>
              <w:ind w:left="0" w:right="0" w:hanging="0"/>
              <w:jc w:val="left"/>
              <w:rPr/>
            </w:pPr>
            <w:r>
              <w:rPr/>
              <w:t> </w:t>
            </w:r>
          </w:p>
        </w:tc>
        <w:tc>
          <w:tcPr>
            <w:tcW w:w="371" w:type="dxa"/>
            <w:tcBorders/>
          </w:tcPr>
          <w:p>
            <w:pPr>
              <w:pStyle w:val="TableContents"/>
              <w:bidi w:val="0"/>
              <w:spacing w:before="0" w:after="0"/>
              <w:ind w:left="0" w:right="0" w:hanging="0"/>
              <w:jc w:val="left"/>
              <w:rPr/>
            </w:pPr>
            <w:r>
              <w:rPr/>
              <w:t> </w:t>
            </w:r>
          </w:p>
        </w:tc>
        <w:tc>
          <w:tcPr>
            <w:tcW w:w="371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Ali Pervaiz </w:t>
            </w:r>
          </w:p>
        </w:tc>
        <w:tc>
          <w:tcPr>
            <w:tcW w:w="1193" w:type="dxa"/>
            <w:tcBorders/>
          </w:tcPr>
          <w:p>
            <w:pPr>
              <w:pStyle w:val="TableContents"/>
              <w:bidi w:val="0"/>
              <w:spacing w:before="0" w:after="0"/>
              <w:ind w:left="0" w:right="0" w:hanging="0"/>
              <w:jc w:val="left"/>
              <w:rPr/>
            </w:pPr>
            <w:r>
              <w:rPr/>
              <w:t> </w:t>
            </w:r>
          </w:p>
        </w:tc>
      </w:tr>
      <w:tr>
        <w:trPr/>
        <w:tc>
          <w:tcPr>
            <w:tcW w:w="4928" w:type="dxa"/>
            <w:tcBorders/>
          </w:tcPr>
          <w:p>
            <w:pPr>
              <w:pStyle w:val="TableContents"/>
              <w:bidi w:val="0"/>
              <w:spacing w:before="0" w:after="0"/>
              <w:ind w:left="0" w:right="0" w:hanging="0"/>
              <w:jc w:val="left"/>
              <w:rPr/>
            </w:pPr>
            <w:r>
              <w:rPr/>
              <w:t> </w:t>
            </w:r>
          </w:p>
        </w:tc>
        <w:tc>
          <w:tcPr>
            <w:tcW w:w="371" w:type="dxa"/>
            <w:tcBorders/>
          </w:tcPr>
          <w:p>
            <w:pPr>
              <w:pStyle w:val="TableContents"/>
              <w:bidi w:val="0"/>
              <w:spacing w:before="0" w:after="0"/>
              <w:ind w:left="0" w:right="0" w:hanging="0"/>
              <w:jc w:val="left"/>
              <w:rPr/>
            </w:pPr>
            <w:r>
              <w:rPr/>
              <w:t> </w:t>
            </w:r>
          </w:p>
        </w:tc>
        <w:tc>
          <w:tcPr>
            <w:tcW w:w="371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Senior Vice President, Chief Financial Officer </w:t>
            </w:r>
          </w:p>
        </w:tc>
        <w:tc>
          <w:tcPr>
            <w:tcW w:w="1193" w:type="dxa"/>
            <w:tcBorders/>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Limited Waiver and Amendment No. 3 to Financing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36"/>
        <w:gridCol w:w="479"/>
        <w:gridCol w:w="3950"/>
        <w:gridCol w:w="1140"/>
      </w:tblGrid>
      <w:tr>
        <w:trPr/>
        <w:tc>
          <w:tcPr>
            <w:tcW w:w="4636" w:type="dxa"/>
            <w:tcBorders/>
          </w:tcPr>
          <w:p>
            <w:pPr>
              <w:pStyle w:val="TableContents"/>
              <w:bidi w:val="0"/>
              <w:spacing w:before="0" w:after="0"/>
              <w:ind w:left="0" w:right="0" w:hanging="0"/>
              <w:jc w:val="left"/>
              <w:rPr/>
            </w:pPr>
            <w:r>
              <w:rPr/>
              <w:t> </w:t>
            </w:r>
          </w:p>
        </w:tc>
        <w:tc>
          <w:tcPr>
            <w:tcW w:w="4429" w:type="dxa"/>
            <w:gridSpan w:val="2"/>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GUARANTORS</w:t>
            </w:r>
            <w:r>
              <w:rPr>
                <w:rFonts w:ascii="Times New Roman" w:hAnsi="Times New Roman"/>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ACCURAY INTERNATIONAL S</w:t>
            </w:r>
            <w:r>
              <w:rPr>
                <w:rFonts w:ascii="Times New Roman" w:hAnsi="Times New Roman"/>
                <w:caps w:val="false"/>
                <w:smallCaps w:val="false"/>
                <w:sz w:val="20"/>
              </w:rPr>
              <w:t>À</w:t>
            </w:r>
            <w:r>
              <w:rPr>
                <w:rFonts w:ascii="Times New Roman" w:hAnsi="Times New Roman"/>
                <w:b/>
                <w:caps w:val="false"/>
                <w:smallCaps w:val="false"/>
                <w:sz w:val="20"/>
              </w:rPr>
              <w:t>RL</w:t>
            </w:r>
          </w:p>
        </w:tc>
        <w:tc>
          <w:tcPr>
            <w:tcW w:w="1140" w:type="dxa"/>
            <w:tcBorders/>
          </w:tcPr>
          <w:p>
            <w:pPr>
              <w:pStyle w:val="TableContents"/>
              <w:bidi w:val="0"/>
              <w:spacing w:before="0" w:after="0"/>
              <w:ind w:left="0" w:right="0" w:hanging="0"/>
              <w:jc w:val="left"/>
              <w:rPr/>
            </w:pPr>
            <w:r>
              <w:rPr/>
              <w:t> </w:t>
            </w:r>
          </w:p>
        </w:tc>
      </w:tr>
      <w:tr>
        <w:trPr/>
        <w:tc>
          <w:tcPr>
            <w:tcW w:w="4636" w:type="dxa"/>
            <w:tcBorders/>
          </w:tcPr>
          <w:p>
            <w:pPr>
              <w:pStyle w:val="TableContents"/>
              <w:bidi w:val="0"/>
              <w:spacing w:before="0" w:after="0"/>
              <w:ind w:left="0" w:right="0" w:hanging="0"/>
              <w:jc w:val="left"/>
              <w:rPr/>
            </w:pPr>
            <w:r>
              <w:rPr/>
              <w:t> </w:t>
            </w:r>
          </w:p>
        </w:tc>
        <w:tc>
          <w:tcPr>
            <w:tcW w:w="479" w:type="dxa"/>
            <w:tcBorders/>
          </w:tcPr>
          <w:p>
            <w:pPr>
              <w:pStyle w:val="TableContents"/>
              <w:bidi w:val="0"/>
              <w:spacing w:before="0" w:after="0"/>
              <w:ind w:left="0" w:right="0" w:hanging="0"/>
              <w:jc w:val="left"/>
              <w:rPr/>
            </w:pPr>
            <w:r>
              <w:rPr/>
              <w:t> </w:t>
            </w:r>
          </w:p>
        </w:tc>
        <w:tc>
          <w:tcPr>
            <w:tcW w:w="3950" w:type="dxa"/>
            <w:tcBorders/>
          </w:tcPr>
          <w:p>
            <w:pPr>
              <w:pStyle w:val="TableContents"/>
              <w:bidi w:val="0"/>
              <w:spacing w:before="0" w:after="0"/>
              <w:ind w:left="0" w:right="0" w:hanging="0"/>
              <w:jc w:val="left"/>
              <w:rPr/>
            </w:pPr>
            <w:r>
              <w:rPr/>
              <w:t> </w:t>
            </w:r>
          </w:p>
        </w:tc>
        <w:tc>
          <w:tcPr>
            <w:tcW w:w="1140" w:type="dxa"/>
            <w:tcBorders/>
          </w:tcPr>
          <w:p>
            <w:pPr>
              <w:pStyle w:val="TableContents"/>
              <w:bidi w:val="0"/>
              <w:spacing w:before="0" w:after="0"/>
              <w:ind w:left="0" w:right="0" w:hanging="0"/>
              <w:jc w:val="left"/>
              <w:rPr/>
            </w:pPr>
            <w:r>
              <w:rPr/>
              <w:t> </w:t>
            </w:r>
          </w:p>
        </w:tc>
      </w:tr>
      <w:tr>
        <w:trPr/>
        <w:tc>
          <w:tcPr>
            <w:tcW w:w="4636" w:type="dxa"/>
            <w:tcBorders/>
          </w:tcPr>
          <w:p>
            <w:pPr>
              <w:pStyle w:val="TableContents"/>
              <w:bidi w:val="0"/>
              <w:spacing w:before="0" w:after="0"/>
              <w:ind w:left="0" w:right="0" w:hanging="0"/>
              <w:jc w:val="left"/>
              <w:rPr/>
            </w:pPr>
            <w:r>
              <w:rPr/>
              <w:t> </w:t>
            </w:r>
          </w:p>
        </w:tc>
        <w:tc>
          <w:tcPr>
            <w:tcW w:w="479" w:type="dxa"/>
            <w:tcBorders/>
          </w:tcPr>
          <w:p>
            <w:pPr>
              <w:pStyle w:val="TableContents"/>
              <w:bidi w:val="0"/>
              <w:spacing w:before="0" w:after="0"/>
              <w:ind w:left="0" w:right="0" w:hanging="0"/>
              <w:jc w:val="left"/>
              <w:rPr/>
            </w:pPr>
            <w:r>
              <w:rPr/>
              <w:t> </w:t>
            </w:r>
          </w:p>
        </w:tc>
        <w:tc>
          <w:tcPr>
            <w:tcW w:w="3950" w:type="dxa"/>
            <w:tcBorders/>
            <w:vAlign w:val="bottom"/>
          </w:tcPr>
          <w:p>
            <w:pPr>
              <w:pStyle w:val="TableContents"/>
              <w:bidi w:val="0"/>
              <w:spacing w:before="0" w:after="0"/>
              <w:ind w:left="0" w:right="0" w:hanging="0"/>
              <w:jc w:val="left"/>
              <w:rPr/>
            </w:pPr>
            <w:r>
              <w:rPr/>
              <w:t> </w:t>
            </w:r>
          </w:p>
        </w:tc>
        <w:tc>
          <w:tcPr>
            <w:tcW w:w="1140" w:type="dxa"/>
            <w:tcBorders/>
          </w:tcPr>
          <w:p>
            <w:pPr>
              <w:pStyle w:val="TableContents"/>
              <w:bidi w:val="0"/>
              <w:spacing w:before="0" w:after="0"/>
              <w:ind w:left="0" w:right="0" w:hanging="0"/>
              <w:jc w:val="left"/>
              <w:rPr/>
            </w:pPr>
            <w:r>
              <w:rPr/>
              <w:t> </w:t>
            </w:r>
          </w:p>
        </w:tc>
      </w:tr>
      <w:tr>
        <w:trPr/>
        <w:tc>
          <w:tcPr>
            <w:tcW w:w="4636" w:type="dxa"/>
            <w:tcBorders/>
          </w:tcPr>
          <w:p>
            <w:pPr>
              <w:pStyle w:val="TableContents"/>
              <w:bidi w:val="0"/>
              <w:spacing w:before="0" w:after="0"/>
              <w:ind w:left="0" w:right="0" w:hanging="0"/>
              <w:jc w:val="left"/>
              <w:rPr/>
            </w:pPr>
            <w:r>
              <w:rPr/>
              <w:t> </w:t>
            </w:r>
          </w:p>
        </w:tc>
        <w:tc>
          <w:tcPr>
            <w:tcW w:w="47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95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Ali Pervaiz</w:t>
            </w:r>
          </w:p>
        </w:tc>
        <w:tc>
          <w:tcPr>
            <w:tcW w:w="1140" w:type="dxa"/>
            <w:tcBorders/>
          </w:tcPr>
          <w:p>
            <w:pPr>
              <w:pStyle w:val="TableContents"/>
              <w:bidi w:val="0"/>
              <w:spacing w:before="0" w:after="0"/>
              <w:ind w:left="0" w:right="0" w:hanging="0"/>
              <w:jc w:val="left"/>
              <w:rPr/>
            </w:pPr>
            <w:r>
              <w:rPr/>
              <w:t> </w:t>
            </w:r>
          </w:p>
        </w:tc>
      </w:tr>
      <w:tr>
        <w:trPr/>
        <w:tc>
          <w:tcPr>
            <w:tcW w:w="4636" w:type="dxa"/>
            <w:tcBorders/>
          </w:tcPr>
          <w:p>
            <w:pPr>
              <w:pStyle w:val="TableContents"/>
              <w:bidi w:val="0"/>
              <w:spacing w:before="0" w:after="0"/>
              <w:ind w:left="0" w:right="0" w:hanging="0"/>
              <w:jc w:val="left"/>
              <w:rPr/>
            </w:pPr>
            <w:r>
              <w:rPr/>
              <w:t> </w:t>
            </w:r>
          </w:p>
        </w:tc>
        <w:tc>
          <w:tcPr>
            <w:tcW w:w="479" w:type="dxa"/>
            <w:tcBorders/>
          </w:tcPr>
          <w:p>
            <w:pPr>
              <w:pStyle w:val="TableContents"/>
              <w:bidi w:val="0"/>
              <w:spacing w:before="0" w:after="0"/>
              <w:ind w:left="0" w:right="0" w:hanging="0"/>
              <w:jc w:val="left"/>
              <w:rPr/>
            </w:pPr>
            <w:r>
              <w:rPr/>
              <w:t> </w:t>
            </w:r>
          </w:p>
        </w:tc>
        <w:tc>
          <w:tcPr>
            <w:tcW w:w="395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Ali Pervaiz </w:t>
            </w:r>
          </w:p>
        </w:tc>
        <w:tc>
          <w:tcPr>
            <w:tcW w:w="1140" w:type="dxa"/>
            <w:tcBorders/>
          </w:tcPr>
          <w:p>
            <w:pPr>
              <w:pStyle w:val="TableContents"/>
              <w:bidi w:val="0"/>
              <w:spacing w:before="0" w:after="0"/>
              <w:ind w:left="0" w:right="0" w:hanging="0"/>
              <w:jc w:val="left"/>
              <w:rPr/>
            </w:pPr>
            <w:r>
              <w:rPr/>
              <w:t> </w:t>
            </w:r>
          </w:p>
        </w:tc>
      </w:tr>
      <w:tr>
        <w:trPr/>
        <w:tc>
          <w:tcPr>
            <w:tcW w:w="4636" w:type="dxa"/>
            <w:tcBorders/>
          </w:tcPr>
          <w:p>
            <w:pPr>
              <w:pStyle w:val="TableContents"/>
              <w:bidi w:val="0"/>
              <w:spacing w:before="0" w:after="0"/>
              <w:ind w:left="0" w:right="0" w:hanging="0"/>
              <w:jc w:val="left"/>
              <w:rPr/>
            </w:pPr>
            <w:r>
              <w:rPr/>
              <w:t> </w:t>
            </w:r>
          </w:p>
        </w:tc>
        <w:tc>
          <w:tcPr>
            <w:tcW w:w="479" w:type="dxa"/>
            <w:tcBorders/>
          </w:tcPr>
          <w:p>
            <w:pPr>
              <w:pStyle w:val="TableContents"/>
              <w:bidi w:val="0"/>
              <w:spacing w:before="0" w:after="0"/>
              <w:ind w:left="0" w:right="0" w:hanging="0"/>
              <w:jc w:val="left"/>
              <w:rPr/>
            </w:pPr>
            <w:r>
              <w:rPr/>
              <w:t> </w:t>
            </w:r>
          </w:p>
        </w:tc>
        <w:tc>
          <w:tcPr>
            <w:tcW w:w="395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Manager </w:t>
            </w:r>
          </w:p>
        </w:tc>
        <w:tc>
          <w:tcPr>
            <w:tcW w:w="1140" w:type="dxa"/>
            <w:tcBorders/>
          </w:tcPr>
          <w:p>
            <w:pPr>
              <w:pStyle w:val="TableContents"/>
              <w:bidi w:val="0"/>
              <w:spacing w:before="0" w:after="0"/>
              <w:ind w:left="0" w:right="0" w:hanging="0"/>
              <w:jc w:val="left"/>
              <w:rPr/>
            </w:pPr>
            <w:r>
              <w:rPr/>
              <w:t> </w:t>
            </w:r>
          </w:p>
        </w:tc>
      </w:tr>
    </w:tbl>
    <w:p>
      <w:pPr>
        <w:pStyle w:val="TextBody"/>
        <w:bidi w:val="0"/>
        <w:spacing w:before="0" w:after="0"/>
        <w:ind w:left="4780" w:right="0" w:hanging="4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21"/>
        <w:gridCol w:w="390"/>
        <w:gridCol w:w="3817"/>
        <w:gridCol w:w="1177"/>
      </w:tblGrid>
      <w:tr>
        <w:trPr/>
        <w:tc>
          <w:tcPr>
            <w:tcW w:w="4821" w:type="dxa"/>
            <w:tcBorders/>
          </w:tcPr>
          <w:p>
            <w:pPr>
              <w:pStyle w:val="TableContents"/>
              <w:bidi w:val="0"/>
              <w:spacing w:before="0" w:after="0"/>
              <w:ind w:left="0" w:right="0" w:hanging="0"/>
              <w:jc w:val="left"/>
              <w:rPr/>
            </w:pPr>
            <w:r>
              <w:rPr/>
              <w:t> </w:t>
            </w:r>
          </w:p>
        </w:tc>
        <w:tc>
          <w:tcPr>
            <w:tcW w:w="4207"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ACCURAY ASIA LIMITED</w:t>
            </w:r>
            <w:r>
              <w:rPr>
                <w:rFonts w:ascii="Times New Roman;Times;serif" w:hAnsi="Times New Roman;Times;serif"/>
                <w:sz w:val="20"/>
              </w:rPr>
              <w:t> </w:t>
            </w:r>
          </w:p>
        </w:tc>
        <w:tc>
          <w:tcPr>
            <w:tcW w:w="1177" w:type="dxa"/>
            <w:tcBorders/>
          </w:tcPr>
          <w:p>
            <w:pPr>
              <w:pStyle w:val="TableContents"/>
              <w:bidi w:val="0"/>
              <w:spacing w:before="0" w:after="0"/>
              <w:ind w:left="0" w:right="0" w:hanging="0"/>
              <w:jc w:val="left"/>
              <w:rPr/>
            </w:pPr>
            <w:r>
              <w:rPr/>
              <w:t> </w:t>
            </w:r>
          </w:p>
        </w:tc>
      </w:tr>
      <w:tr>
        <w:trPr/>
        <w:tc>
          <w:tcPr>
            <w:tcW w:w="4821" w:type="dxa"/>
            <w:tcBorders/>
          </w:tcPr>
          <w:p>
            <w:pPr>
              <w:pStyle w:val="TableContents"/>
              <w:bidi w:val="0"/>
              <w:spacing w:before="0" w:after="0"/>
              <w:ind w:left="0" w:right="0" w:hanging="0"/>
              <w:jc w:val="left"/>
              <w:rPr/>
            </w:pPr>
            <w:r>
              <w:rPr/>
              <w:t> </w:t>
            </w:r>
          </w:p>
        </w:tc>
        <w:tc>
          <w:tcPr>
            <w:tcW w:w="390" w:type="dxa"/>
            <w:tcBorders/>
          </w:tcPr>
          <w:p>
            <w:pPr>
              <w:pStyle w:val="TableContents"/>
              <w:bidi w:val="0"/>
              <w:spacing w:before="0" w:after="0"/>
              <w:ind w:left="0" w:right="0" w:hanging="0"/>
              <w:jc w:val="left"/>
              <w:rPr/>
            </w:pPr>
            <w:r>
              <w:rPr/>
              <w:t> </w:t>
            </w:r>
          </w:p>
        </w:tc>
        <w:tc>
          <w:tcPr>
            <w:tcW w:w="3817" w:type="dxa"/>
            <w:tcBorders/>
          </w:tcPr>
          <w:p>
            <w:pPr>
              <w:pStyle w:val="TableContents"/>
              <w:bidi w:val="0"/>
              <w:spacing w:before="0" w:after="0"/>
              <w:ind w:left="0" w:right="0" w:hanging="0"/>
              <w:jc w:val="left"/>
              <w:rPr/>
            </w:pPr>
            <w:r>
              <w:rPr/>
              <w:t> </w:t>
            </w:r>
          </w:p>
        </w:tc>
        <w:tc>
          <w:tcPr>
            <w:tcW w:w="1177" w:type="dxa"/>
            <w:tcBorders/>
          </w:tcPr>
          <w:p>
            <w:pPr>
              <w:pStyle w:val="TableContents"/>
              <w:bidi w:val="0"/>
              <w:spacing w:before="0" w:after="0"/>
              <w:ind w:left="0" w:right="0" w:hanging="0"/>
              <w:jc w:val="left"/>
              <w:rPr/>
            </w:pPr>
            <w:r>
              <w:rPr/>
              <w:t> </w:t>
            </w:r>
          </w:p>
        </w:tc>
      </w:tr>
      <w:tr>
        <w:trPr/>
        <w:tc>
          <w:tcPr>
            <w:tcW w:w="4821" w:type="dxa"/>
            <w:tcBorders/>
          </w:tcPr>
          <w:p>
            <w:pPr>
              <w:pStyle w:val="TableContents"/>
              <w:bidi w:val="0"/>
              <w:spacing w:before="0" w:after="0"/>
              <w:ind w:left="0" w:right="0" w:hanging="0"/>
              <w:jc w:val="left"/>
              <w:rPr/>
            </w:pPr>
            <w:r>
              <w:rPr/>
              <w:t> </w:t>
            </w:r>
          </w:p>
        </w:tc>
        <w:tc>
          <w:tcPr>
            <w:tcW w:w="390" w:type="dxa"/>
            <w:tcBorders/>
          </w:tcPr>
          <w:p>
            <w:pPr>
              <w:pStyle w:val="TableContents"/>
              <w:bidi w:val="0"/>
              <w:spacing w:before="0" w:after="0"/>
              <w:ind w:left="0" w:right="0" w:hanging="0"/>
              <w:jc w:val="left"/>
              <w:rPr/>
            </w:pPr>
            <w:r>
              <w:rPr/>
              <w:t> </w:t>
            </w:r>
          </w:p>
        </w:tc>
        <w:tc>
          <w:tcPr>
            <w:tcW w:w="3817" w:type="dxa"/>
            <w:tcBorders/>
            <w:vAlign w:val="bottom"/>
          </w:tcPr>
          <w:p>
            <w:pPr>
              <w:pStyle w:val="TableContents"/>
              <w:bidi w:val="0"/>
              <w:spacing w:before="0" w:after="0"/>
              <w:ind w:left="0" w:right="0" w:hanging="0"/>
              <w:jc w:val="left"/>
              <w:rPr/>
            </w:pPr>
            <w:r>
              <w:rPr/>
              <w:t> </w:t>
            </w:r>
          </w:p>
        </w:tc>
        <w:tc>
          <w:tcPr>
            <w:tcW w:w="1177" w:type="dxa"/>
            <w:tcBorders/>
          </w:tcPr>
          <w:p>
            <w:pPr>
              <w:pStyle w:val="TableContents"/>
              <w:bidi w:val="0"/>
              <w:spacing w:before="0" w:after="0"/>
              <w:ind w:left="0" w:right="0" w:hanging="0"/>
              <w:jc w:val="left"/>
              <w:rPr/>
            </w:pPr>
            <w:r>
              <w:rPr/>
              <w:t> </w:t>
            </w:r>
          </w:p>
        </w:tc>
      </w:tr>
      <w:tr>
        <w:trPr/>
        <w:tc>
          <w:tcPr>
            <w:tcW w:w="4821" w:type="dxa"/>
            <w:tcBorders/>
          </w:tcPr>
          <w:p>
            <w:pPr>
              <w:pStyle w:val="TableContents"/>
              <w:bidi w:val="0"/>
              <w:spacing w:before="0" w:after="0"/>
              <w:ind w:left="0" w:right="0" w:hanging="0"/>
              <w:jc w:val="left"/>
              <w:rPr/>
            </w:pPr>
            <w:r>
              <w:rPr/>
              <w:t> </w:t>
            </w:r>
          </w:p>
        </w:tc>
        <w:tc>
          <w:tcPr>
            <w:tcW w:w="39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817"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Ali Pervaiz</w:t>
            </w:r>
          </w:p>
        </w:tc>
        <w:tc>
          <w:tcPr>
            <w:tcW w:w="1177" w:type="dxa"/>
            <w:tcBorders/>
          </w:tcPr>
          <w:p>
            <w:pPr>
              <w:pStyle w:val="TableContents"/>
              <w:bidi w:val="0"/>
              <w:spacing w:before="0" w:after="0"/>
              <w:ind w:left="0" w:right="0" w:hanging="0"/>
              <w:jc w:val="left"/>
              <w:rPr/>
            </w:pPr>
            <w:r>
              <w:rPr/>
              <w:t> </w:t>
            </w:r>
          </w:p>
        </w:tc>
      </w:tr>
      <w:tr>
        <w:trPr/>
        <w:tc>
          <w:tcPr>
            <w:tcW w:w="4821" w:type="dxa"/>
            <w:tcBorders/>
          </w:tcPr>
          <w:p>
            <w:pPr>
              <w:pStyle w:val="TableContents"/>
              <w:bidi w:val="0"/>
              <w:spacing w:before="0" w:after="0"/>
              <w:ind w:left="0" w:right="0" w:hanging="0"/>
              <w:jc w:val="left"/>
              <w:rPr/>
            </w:pPr>
            <w:r>
              <w:rPr/>
              <w:t> </w:t>
            </w:r>
          </w:p>
        </w:tc>
        <w:tc>
          <w:tcPr>
            <w:tcW w:w="390" w:type="dxa"/>
            <w:tcBorders/>
          </w:tcPr>
          <w:p>
            <w:pPr>
              <w:pStyle w:val="TableContents"/>
              <w:bidi w:val="0"/>
              <w:spacing w:before="0" w:after="0"/>
              <w:ind w:left="0" w:right="0" w:hanging="0"/>
              <w:jc w:val="left"/>
              <w:rPr/>
            </w:pPr>
            <w:r>
              <w:rPr/>
              <w:t> </w:t>
            </w:r>
          </w:p>
        </w:tc>
        <w:tc>
          <w:tcPr>
            <w:tcW w:w="381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Ali Pervaiz </w:t>
            </w:r>
          </w:p>
        </w:tc>
        <w:tc>
          <w:tcPr>
            <w:tcW w:w="1177" w:type="dxa"/>
            <w:tcBorders/>
          </w:tcPr>
          <w:p>
            <w:pPr>
              <w:pStyle w:val="TableContents"/>
              <w:bidi w:val="0"/>
              <w:spacing w:before="0" w:after="0"/>
              <w:ind w:left="0" w:right="0" w:hanging="0"/>
              <w:jc w:val="left"/>
              <w:rPr/>
            </w:pPr>
            <w:r>
              <w:rPr/>
              <w:t> </w:t>
            </w:r>
          </w:p>
        </w:tc>
      </w:tr>
      <w:tr>
        <w:trPr/>
        <w:tc>
          <w:tcPr>
            <w:tcW w:w="4821" w:type="dxa"/>
            <w:tcBorders/>
          </w:tcPr>
          <w:p>
            <w:pPr>
              <w:pStyle w:val="TableContents"/>
              <w:bidi w:val="0"/>
              <w:spacing w:before="0" w:after="0"/>
              <w:ind w:left="0" w:right="0" w:hanging="0"/>
              <w:jc w:val="left"/>
              <w:rPr/>
            </w:pPr>
            <w:r>
              <w:rPr/>
              <w:t> </w:t>
            </w:r>
          </w:p>
        </w:tc>
        <w:tc>
          <w:tcPr>
            <w:tcW w:w="390" w:type="dxa"/>
            <w:tcBorders/>
          </w:tcPr>
          <w:p>
            <w:pPr>
              <w:pStyle w:val="TableContents"/>
              <w:bidi w:val="0"/>
              <w:spacing w:before="0" w:after="0"/>
              <w:ind w:left="0" w:right="0" w:hanging="0"/>
              <w:jc w:val="left"/>
              <w:rPr/>
            </w:pPr>
            <w:r>
              <w:rPr/>
              <w:t> </w:t>
            </w:r>
          </w:p>
        </w:tc>
        <w:tc>
          <w:tcPr>
            <w:tcW w:w="381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Director </w:t>
            </w:r>
          </w:p>
        </w:tc>
        <w:tc>
          <w:tcPr>
            <w:tcW w:w="1177"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4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62"/>
        <w:gridCol w:w="348"/>
        <w:gridCol w:w="3694"/>
        <w:gridCol w:w="1201"/>
      </w:tblGrid>
      <w:tr>
        <w:trPr/>
        <w:tc>
          <w:tcPr>
            <w:tcW w:w="4962" w:type="dxa"/>
            <w:tcBorders/>
          </w:tcPr>
          <w:p>
            <w:pPr>
              <w:pStyle w:val="TableContents"/>
              <w:bidi w:val="0"/>
              <w:spacing w:before="0" w:after="0"/>
              <w:ind w:left="0" w:right="0" w:hanging="0"/>
              <w:jc w:val="left"/>
              <w:rPr/>
            </w:pPr>
            <w:r>
              <w:rPr/>
              <w:t> </w:t>
            </w:r>
          </w:p>
        </w:tc>
        <w:tc>
          <w:tcPr>
            <w:tcW w:w="4042"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ACCURAY JAPAN K.K.</w:t>
            </w:r>
            <w:r>
              <w:rPr>
                <w:rFonts w:ascii="Times New Roman;Times;serif" w:hAnsi="Times New Roman;Times;serif"/>
                <w:sz w:val="20"/>
              </w:rPr>
              <w:t> </w:t>
            </w:r>
          </w:p>
        </w:tc>
        <w:tc>
          <w:tcPr>
            <w:tcW w:w="1201" w:type="dxa"/>
            <w:tcBorders/>
          </w:tcPr>
          <w:p>
            <w:pPr>
              <w:pStyle w:val="TableContents"/>
              <w:bidi w:val="0"/>
              <w:spacing w:before="0" w:after="0"/>
              <w:ind w:left="0" w:right="0" w:hanging="0"/>
              <w:jc w:val="left"/>
              <w:rPr/>
            </w:pPr>
            <w:r>
              <w:rPr/>
              <w:t> </w:t>
            </w:r>
          </w:p>
        </w:tc>
      </w:tr>
      <w:tr>
        <w:trPr/>
        <w:tc>
          <w:tcPr>
            <w:tcW w:w="4962" w:type="dxa"/>
            <w:tcBorders/>
          </w:tcPr>
          <w:p>
            <w:pPr>
              <w:pStyle w:val="TableContents"/>
              <w:bidi w:val="0"/>
              <w:spacing w:before="0" w:after="0"/>
              <w:ind w:left="0" w:right="0" w:hanging="0"/>
              <w:jc w:val="left"/>
              <w:rPr/>
            </w:pPr>
            <w:r>
              <w:rPr/>
              <w:t> </w:t>
            </w:r>
          </w:p>
        </w:tc>
        <w:tc>
          <w:tcPr>
            <w:tcW w:w="348" w:type="dxa"/>
            <w:tcBorders/>
          </w:tcPr>
          <w:p>
            <w:pPr>
              <w:pStyle w:val="TableContents"/>
              <w:bidi w:val="0"/>
              <w:spacing w:before="0" w:after="0"/>
              <w:ind w:left="0" w:right="0" w:hanging="0"/>
              <w:jc w:val="left"/>
              <w:rPr/>
            </w:pPr>
            <w:r>
              <w:rPr/>
              <w:t> </w:t>
            </w:r>
          </w:p>
        </w:tc>
        <w:tc>
          <w:tcPr>
            <w:tcW w:w="3694" w:type="dxa"/>
            <w:tcBorders/>
          </w:tcPr>
          <w:p>
            <w:pPr>
              <w:pStyle w:val="TableContents"/>
              <w:bidi w:val="0"/>
              <w:spacing w:before="0" w:after="0"/>
              <w:ind w:left="0" w:right="0" w:hanging="0"/>
              <w:jc w:val="left"/>
              <w:rPr/>
            </w:pPr>
            <w:r>
              <w:rPr/>
              <w:t> </w:t>
            </w:r>
          </w:p>
        </w:tc>
        <w:tc>
          <w:tcPr>
            <w:tcW w:w="1201" w:type="dxa"/>
            <w:tcBorders/>
          </w:tcPr>
          <w:p>
            <w:pPr>
              <w:pStyle w:val="TableContents"/>
              <w:bidi w:val="0"/>
              <w:spacing w:before="0" w:after="0"/>
              <w:ind w:left="0" w:right="0" w:hanging="0"/>
              <w:jc w:val="left"/>
              <w:rPr/>
            </w:pPr>
            <w:r>
              <w:rPr/>
              <w:t> </w:t>
            </w:r>
          </w:p>
        </w:tc>
      </w:tr>
      <w:tr>
        <w:trPr/>
        <w:tc>
          <w:tcPr>
            <w:tcW w:w="4962" w:type="dxa"/>
            <w:tcBorders/>
          </w:tcPr>
          <w:p>
            <w:pPr>
              <w:pStyle w:val="TableContents"/>
              <w:bidi w:val="0"/>
              <w:spacing w:before="0" w:after="0"/>
              <w:ind w:left="0" w:right="0" w:hanging="0"/>
              <w:jc w:val="left"/>
              <w:rPr/>
            </w:pPr>
            <w:r>
              <w:rPr/>
              <w:t> </w:t>
            </w:r>
          </w:p>
        </w:tc>
        <w:tc>
          <w:tcPr>
            <w:tcW w:w="348" w:type="dxa"/>
            <w:tcBorders/>
          </w:tcPr>
          <w:p>
            <w:pPr>
              <w:pStyle w:val="TableContents"/>
              <w:bidi w:val="0"/>
              <w:spacing w:before="0" w:after="0"/>
              <w:ind w:left="0" w:right="0" w:hanging="0"/>
              <w:jc w:val="left"/>
              <w:rPr/>
            </w:pPr>
            <w:r>
              <w:rPr/>
              <w:t> </w:t>
            </w:r>
          </w:p>
        </w:tc>
        <w:tc>
          <w:tcPr>
            <w:tcW w:w="3694" w:type="dxa"/>
            <w:tcBorders/>
            <w:vAlign w:val="bottom"/>
          </w:tcPr>
          <w:p>
            <w:pPr>
              <w:pStyle w:val="TableContents"/>
              <w:bidi w:val="0"/>
              <w:spacing w:before="0" w:after="0"/>
              <w:ind w:left="0" w:right="0" w:hanging="0"/>
              <w:jc w:val="left"/>
              <w:rPr/>
            </w:pPr>
            <w:r>
              <w:rPr/>
              <w:t> </w:t>
            </w:r>
          </w:p>
        </w:tc>
        <w:tc>
          <w:tcPr>
            <w:tcW w:w="1201" w:type="dxa"/>
            <w:tcBorders/>
          </w:tcPr>
          <w:p>
            <w:pPr>
              <w:pStyle w:val="TableContents"/>
              <w:bidi w:val="0"/>
              <w:spacing w:before="0" w:after="0"/>
              <w:ind w:left="0" w:right="0" w:hanging="0"/>
              <w:jc w:val="left"/>
              <w:rPr/>
            </w:pPr>
            <w:r>
              <w:rPr/>
              <w:t> </w:t>
            </w:r>
          </w:p>
        </w:tc>
      </w:tr>
      <w:tr>
        <w:trPr/>
        <w:tc>
          <w:tcPr>
            <w:tcW w:w="4962" w:type="dxa"/>
            <w:tcBorders/>
          </w:tcPr>
          <w:p>
            <w:pPr>
              <w:pStyle w:val="TableContents"/>
              <w:bidi w:val="0"/>
              <w:spacing w:before="0" w:after="0"/>
              <w:ind w:left="0" w:right="0" w:hanging="0"/>
              <w:jc w:val="left"/>
              <w:rPr/>
            </w:pPr>
            <w:r>
              <w:rPr/>
              <w:t> </w:t>
            </w:r>
          </w:p>
        </w:tc>
        <w:tc>
          <w:tcPr>
            <w:tcW w:w="348"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694"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Ali Pervaiz</w:t>
            </w:r>
          </w:p>
        </w:tc>
        <w:tc>
          <w:tcPr>
            <w:tcW w:w="1201" w:type="dxa"/>
            <w:tcBorders/>
          </w:tcPr>
          <w:p>
            <w:pPr>
              <w:pStyle w:val="TableContents"/>
              <w:bidi w:val="0"/>
              <w:spacing w:before="0" w:after="0"/>
              <w:ind w:left="0" w:right="0" w:hanging="0"/>
              <w:jc w:val="left"/>
              <w:rPr/>
            </w:pPr>
            <w:r>
              <w:rPr/>
              <w:t> </w:t>
            </w:r>
          </w:p>
        </w:tc>
      </w:tr>
      <w:tr>
        <w:trPr/>
        <w:tc>
          <w:tcPr>
            <w:tcW w:w="4962" w:type="dxa"/>
            <w:tcBorders/>
          </w:tcPr>
          <w:p>
            <w:pPr>
              <w:pStyle w:val="TableContents"/>
              <w:bidi w:val="0"/>
              <w:spacing w:before="0" w:after="0"/>
              <w:ind w:left="0" w:right="0" w:hanging="0"/>
              <w:jc w:val="left"/>
              <w:rPr/>
            </w:pPr>
            <w:r>
              <w:rPr/>
              <w:t> </w:t>
            </w:r>
          </w:p>
        </w:tc>
        <w:tc>
          <w:tcPr>
            <w:tcW w:w="348" w:type="dxa"/>
            <w:tcBorders/>
          </w:tcPr>
          <w:p>
            <w:pPr>
              <w:pStyle w:val="TableContents"/>
              <w:bidi w:val="0"/>
              <w:spacing w:before="0" w:after="0"/>
              <w:ind w:left="0" w:right="0" w:hanging="0"/>
              <w:jc w:val="left"/>
              <w:rPr/>
            </w:pPr>
            <w:r>
              <w:rPr/>
              <w:t> </w:t>
            </w:r>
          </w:p>
        </w:tc>
        <w:tc>
          <w:tcPr>
            <w:tcW w:w="369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Ali Pervaiz </w:t>
            </w:r>
          </w:p>
        </w:tc>
        <w:tc>
          <w:tcPr>
            <w:tcW w:w="1201" w:type="dxa"/>
            <w:tcBorders/>
          </w:tcPr>
          <w:p>
            <w:pPr>
              <w:pStyle w:val="TableContents"/>
              <w:bidi w:val="0"/>
              <w:spacing w:before="0" w:after="0"/>
              <w:ind w:left="0" w:right="0" w:hanging="0"/>
              <w:jc w:val="left"/>
              <w:rPr/>
            </w:pPr>
            <w:r>
              <w:rPr/>
              <w:t> </w:t>
            </w:r>
          </w:p>
        </w:tc>
      </w:tr>
      <w:tr>
        <w:trPr/>
        <w:tc>
          <w:tcPr>
            <w:tcW w:w="4962" w:type="dxa"/>
            <w:tcBorders/>
          </w:tcPr>
          <w:p>
            <w:pPr>
              <w:pStyle w:val="TableContents"/>
              <w:bidi w:val="0"/>
              <w:spacing w:before="0" w:after="0"/>
              <w:ind w:left="0" w:right="0" w:hanging="0"/>
              <w:jc w:val="left"/>
              <w:rPr/>
            </w:pPr>
            <w:r>
              <w:rPr/>
              <w:t> </w:t>
            </w:r>
          </w:p>
        </w:tc>
        <w:tc>
          <w:tcPr>
            <w:tcW w:w="348" w:type="dxa"/>
            <w:tcBorders/>
          </w:tcPr>
          <w:p>
            <w:pPr>
              <w:pStyle w:val="TableContents"/>
              <w:bidi w:val="0"/>
              <w:spacing w:before="0" w:after="0"/>
              <w:ind w:left="0" w:right="0" w:hanging="0"/>
              <w:jc w:val="left"/>
              <w:rPr/>
            </w:pPr>
            <w:r>
              <w:rPr/>
              <w:t> </w:t>
            </w:r>
          </w:p>
        </w:tc>
        <w:tc>
          <w:tcPr>
            <w:tcW w:w="369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Representative Director </w:t>
            </w:r>
          </w:p>
        </w:tc>
        <w:tc>
          <w:tcPr>
            <w:tcW w:w="1201"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48"/>
        <w:gridCol w:w="352"/>
        <w:gridCol w:w="3707"/>
        <w:gridCol w:w="1198"/>
      </w:tblGrid>
      <w:tr>
        <w:trPr/>
        <w:tc>
          <w:tcPr>
            <w:tcW w:w="4948" w:type="dxa"/>
            <w:tcBorders/>
          </w:tcPr>
          <w:p>
            <w:pPr>
              <w:pStyle w:val="TableContents"/>
              <w:bidi w:val="0"/>
              <w:spacing w:before="0" w:after="0"/>
              <w:ind w:left="0" w:right="0" w:hanging="0"/>
              <w:jc w:val="left"/>
              <w:rPr/>
            </w:pPr>
            <w:r>
              <w:rPr/>
              <w:t> </w:t>
            </w:r>
          </w:p>
        </w:tc>
        <w:tc>
          <w:tcPr>
            <w:tcW w:w="4059"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ACCURAY LLC</w:t>
            </w:r>
            <w:r>
              <w:rPr>
                <w:rFonts w:ascii="Times New Roman;Times;serif" w:hAnsi="Times New Roman;Times;serif"/>
                <w:sz w:val="20"/>
              </w:rPr>
              <w:t> </w:t>
            </w:r>
          </w:p>
        </w:tc>
        <w:tc>
          <w:tcPr>
            <w:tcW w:w="1198" w:type="dxa"/>
            <w:tcBorders/>
          </w:tcPr>
          <w:p>
            <w:pPr>
              <w:pStyle w:val="TableContents"/>
              <w:bidi w:val="0"/>
              <w:spacing w:before="0" w:after="0"/>
              <w:ind w:left="0" w:right="0" w:hanging="0"/>
              <w:jc w:val="left"/>
              <w:rPr/>
            </w:pPr>
            <w:r>
              <w:rPr/>
              <w:t> </w:t>
            </w:r>
          </w:p>
        </w:tc>
      </w:tr>
      <w:tr>
        <w:trPr/>
        <w:tc>
          <w:tcPr>
            <w:tcW w:w="4948" w:type="dxa"/>
            <w:tcBorders/>
          </w:tcPr>
          <w:p>
            <w:pPr>
              <w:pStyle w:val="TableContents"/>
              <w:bidi w:val="0"/>
              <w:spacing w:before="0" w:after="0"/>
              <w:ind w:left="0" w:right="0" w:hanging="0"/>
              <w:jc w:val="left"/>
              <w:rPr/>
            </w:pPr>
            <w:r>
              <w:rPr/>
              <w:t> </w:t>
            </w:r>
          </w:p>
        </w:tc>
        <w:tc>
          <w:tcPr>
            <w:tcW w:w="352" w:type="dxa"/>
            <w:tcBorders/>
          </w:tcPr>
          <w:p>
            <w:pPr>
              <w:pStyle w:val="TableContents"/>
              <w:bidi w:val="0"/>
              <w:spacing w:before="0" w:after="0"/>
              <w:ind w:left="0" w:right="0" w:hanging="0"/>
              <w:jc w:val="left"/>
              <w:rPr/>
            </w:pPr>
            <w:r>
              <w:rPr/>
              <w:t> </w:t>
            </w:r>
          </w:p>
        </w:tc>
        <w:tc>
          <w:tcPr>
            <w:tcW w:w="3707" w:type="dxa"/>
            <w:tcBorders/>
          </w:tcPr>
          <w:p>
            <w:pPr>
              <w:pStyle w:val="TableContents"/>
              <w:bidi w:val="0"/>
              <w:spacing w:before="0" w:after="0"/>
              <w:ind w:left="0" w:right="0" w:hanging="0"/>
              <w:jc w:val="left"/>
              <w:rPr/>
            </w:pPr>
            <w:r>
              <w:rPr/>
              <w:t> </w:t>
            </w:r>
          </w:p>
        </w:tc>
        <w:tc>
          <w:tcPr>
            <w:tcW w:w="1198" w:type="dxa"/>
            <w:tcBorders/>
          </w:tcPr>
          <w:p>
            <w:pPr>
              <w:pStyle w:val="TableContents"/>
              <w:bidi w:val="0"/>
              <w:spacing w:before="0" w:after="0"/>
              <w:ind w:left="0" w:right="0" w:hanging="0"/>
              <w:jc w:val="left"/>
              <w:rPr/>
            </w:pPr>
            <w:r>
              <w:rPr/>
              <w:t> </w:t>
            </w:r>
          </w:p>
        </w:tc>
      </w:tr>
      <w:tr>
        <w:trPr/>
        <w:tc>
          <w:tcPr>
            <w:tcW w:w="4948" w:type="dxa"/>
            <w:tcBorders/>
          </w:tcPr>
          <w:p>
            <w:pPr>
              <w:pStyle w:val="TableContents"/>
              <w:bidi w:val="0"/>
              <w:spacing w:before="0" w:after="0"/>
              <w:ind w:left="0" w:right="0" w:hanging="0"/>
              <w:jc w:val="left"/>
              <w:rPr/>
            </w:pPr>
            <w:r>
              <w:rPr/>
              <w:t> </w:t>
            </w:r>
          </w:p>
        </w:tc>
        <w:tc>
          <w:tcPr>
            <w:tcW w:w="352" w:type="dxa"/>
            <w:tcBorders/>
          </w:tcPr>
          <w:p>
            <w:pPr>
              <w:pStyle w:val="TableContents"/>
              <w:bidi w:val="0"/>
              <w:spacing w:before="0" w:after="0"/>
              <w:ind w:left="0" w:right="0" w:hanging="0"/>
              <w:jc w:val="left"/>
              <w:rPr/>
            </w:pPr>
            <w:r>
              <w:rPr/>
              <w:t> </w:t>
            </w:r>
          </w:p>
        </w:tc>
        <w:tc>
          <w:tcPr>
            <w:tcW w:w="3707" w:type="dxa"/>
            <w:tcBorders/>
            <w:vAlign w:val="bottom"/>
          </w:tcPr>
          <w:p>
            <w:pPr>
              <w:pStyle w:val="TableContents"/>
              <w:bidi w:val="0"/>
              <w:spacing w:before="0" w:after="0"/>
              <w:ind w:left="0" w:right="0" w:hanging="0"/>
              <w:jc w:val="left"/>
              <w:rPr/>
            </w:pPr>
            <w:r>
              <w:rPr/>
              <w:t> </w:t>
            </w:r>
          </w:p>
        </w:tc>
        <w:tc>
          <w:tcPr>
            <w:tcW w:w="1198" w:type="dxa"/>
            <w:tcBorders/>
          </w:tcPr>
          <w:p>
            <w:pPr>
              <w:pStyle w:val="TableContents"/>
              <w:bidi w:val="0"/>
              <w:spacing w:before="0" w:after="0"/>
              <w:ind w:left="0" w:right="0" w:hanging="0"/>
              <w:jc w:val="left"/>
              <w:rPr/>
            </w:pPr>
            <w:r>
              <w:rPr/>
              <w:t> </w:t>
            </w:r>
          </w:p>
        </w:tc>
      </w:tr>
      <w:tr>
        <w:trPr/>
        <w:tc>
          <w:tcPr>
            <w:tcW w:w="4948" w:type="dxa"/>
            <w:tcBorders/>
          </w:tcPr>
          <w:p>
            <w:pPr>
              <w:pStyle w:val="TableContents"/>
              <w:bidi w:val="0"/>
              <w:spacing w:before="0" w:after="0"/>
              <w:ind w:left="0" w:right="0" w:hanging="0"/>
              <w:jc w:val="left"/>
              <w:rPr/>
            </w:pPr>
            <w:r>
              <w:rPr/>
              <w:t> </w:t>
            </w:r>
          </w:p>
        </w:tc>
        <w:tc>
          <w:tcPr>
            <w:tcW w:w="352"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07"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Ali Pervaiz</w:t>
            </w:r>
          </w:p>
        </w:tc>
        <w:tc>
          <w:tcPr>
            <w:tcW w:w="1198" w:type="dxa"/>
            <w:tcBorders/>
          </w:tcPr>
          <w:p>
            <w:pPr>
              <w:pStyle w:val="TableContents"/>
              <w:bidi w:val="0"/>
              <w:spacing w:before="0" w:after="0"/>
              <w:ind w:left="0" w:right="0" w:hanging="0"/>
              <w:jc w:val="left"/>
              <w:rPr/>
            </w:pPr>
            <w:r>
              <w:rPr/>
              <w:t> </w:t>
            </w:r>
          </w:p>
        </w:tc>
      </w:tr>
      <w:tr>
        <w:trPr/>
        <w:tc>
          <w:tcPr>
            <w:tcW w:w="4948" w:type="dxa"/>
            <w:tcBorders/>
          </w:tcPr>
          <w:p>
            <w:pPr>
              <w:pStyle w:val="TableContents"/>
              <w:bidi w:val="0"/>
              <w:spacing w:before="0" w:after="0"/>
              <w:ind w:left="0" w:right="0" w:hanging="0"/>
              <w:jc w:val="left"/>
              <w:rPr/>
            </w:pPr>
            <w:r>
              <w:rPr/>
              <w:t> </w:t>
            </w:r>
          </w:p>
        </w:tc>
        <w:tc>
          <w:tcPr>
            <w:tcW w:w="352" w:type="dxa"/>
            <w:tcBorders/>
          </w:tcPr>
          <w:p>
            <w:pPr>
              <w:pStyle w:val="TableContents"/>
              <w:bidi w:val="0"/>
              <w:spacing w:before="0" w:after="0"/>
              <w:ind w:left="0" w:right="0" w:hanging="0"/>
              <w:jc w:val="left"/>
              <w:rPr/>
            </w:pPr>
            <w:r>
              <w:rPr/>
              <w:t> </w:t>
            </w:r>
          </w:p>
        </w:tc>
        <w:tc>
          <w:tcPr>
            <w:tcW w:w="370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Ali Pervaiz </w:t>
            </w:r>
          </w:p>
        </w:tc>
        <w:tc>
          <w:tcPr>
            <w:tcW w:w="1198" w:type="dxa"/>
            <w:tcBorders/>
          </w:tcPr>
          <w:p>
            <w:pPr>
              <w:pStyle w:val="TableContents"/>
              <w:bidi w:val="0"/>
              <w:spacing w:before="0" w:after="0"/>
              <w:ind w:left="0" w:right="0" w:hanging="0"/>
              <w:jc w:val="left"/>
              <w:rPr/>
            </w:pPr>
            <w:r>
              <w:rPr/>
              <w:t> </w:t>
            </w:r>
          </w:p>
        </w:tc>
      </w:tr>
      <w:tr>
        <w:trPr/>
        <w:tc>
          <w:tcPr>
            <w:tcW w:w="4948" w:type="dxa"/>
            <w:tcBorders/>
          </w:tcPr>
          <w:p>
            <w:pPr>
              <w:pStyle w:val="TableContents"/>
              <w:bidi w:val="0"/>
              <w:spacing w:before="0" w:after="0"/>
              <w:ind w:left="0" w:right="0" w:hanging="0"/>
              <w:jc w:val="left"/>
              <w:rPr/>
            </w:pPr>
            <w:r>
              <w:rPr/>
              <w:t> </w:t>
            </w:r>
          </w:p>
        </w:tc>
        <w:tc>
          <w:tcPr>
            <w:tcW w:w="352" w:type="dxa"/>
            <w:tcBorders/>
          </w:tcPr>
          <w:p>
            <w:pPr>
              <w:pStyle w:val="TableContents"/>
              <w:bidi w:val="0"/>
              <w:spacing w:before="0" w:after="0"/>
              <w:ind w:left="0" w:right="0" w:hanging="0"/>
              <w:jc w:val="left"/>
              <w:rPr/>
            </w:pPr>
            <w:r>
              <w:rPr/>
              <w:t> </w:t>
            </w:r>
          </w:p>
        </w:tc>
        <w:tc>
          <w:tcPr>
            <w:tcW w:w="370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 </w:t>
            </w:r>
          </w:p>
        </w:tc>
        <w:tc>
          <w:tcPr>
            <w:tcW w:w="1198"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[Signature Page to Limited Waiver and Amendment No. 3 to Financing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3"/>
        <w:gridCol w:w="435"/>
        <w:gridCol w:w="4131"/>
        <w:gridCol w:w="1116"/>
      </w:tblGrid>
      <w:tr>
        <w:trPr/>
        <w:tc>
          <w:tcPr>
            <w:tcW w:w="4523" w:type="dxa"/>
            <w:tcBorders/>
          </w:tcPr>
          <w:p>
            <w:pPr>
              <w:pStyle w:val="TableContents"/>
              <w:bidi w:val="0"/>
              <w:spacing w:before="0" w:after="0"/>
              <w:ind w:left="0" w:right="0" w:hanging="0"/>
              <w:jc w:val="left"/>
              <w:rPr/>
            </w:pPr>
            <w:r>
              <w:rPr/>
              <w:t> </w:t>
            </w:r>
          </w:p>
        </w:tc>
        <w:tc>
          <w:tcPr>
            <w:tcW w:w="4566" w:type="dxa"/>
            <w:gridSpan w:val="2"/>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ADMINISTRATIVE AGENT AND COLLATERAL AGENT</w:t>
            </w:r>
            <w:r>
              <w:rPr>
                <w:rFonts w:ascii="Times New Roman" w:hAnsi="Times New Roman"/>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TCW ASSET MANAGEMENT COMPANY LLC</w:t>
            </w:r>
          </w:p>
        </w:tc>
        <w:tc>
          <w:tcPr>
            <w:tcW w:w="1116" w:type="dxa"/>
            <w:tcBorders/>
          </w:tcPr>
          <w:p>
            <w:pPr>
              <w:pStyle w:val="TableContents"/>
              <w:bidi w:val="0"/>
              <w:spacing w:before="0" w:after="0"/>
              <w:ind w:left="0" w:right="0" w:hanging="0"/>
              <w:jc w:val="left"/>
              <w:rPr/>
            </w:pPr>
            <w:r>
              <w:rPr/>
              <w:t> </w:t>
            </w:r>
          </w:p>
        </w:tc>
      </w:tr>
      <w:tr>
        <w:trPr/>
        <w:tc>
          <w:tcPr>
            <w:tcW w:w="4523" w:type="dxa"/>
            <w:tcBorders/>
          </w:tcPr>
          <w:p>
            <w:pPr>
              <w:pStyle w:val="TableContents"/>
              <w:bidi w:val="0"/>
              <w:spacing w:before="0" w:after="0"/>
              <w:ind w:left="0" w:right="0" w:hanging="0"/>
              <w:jc w:val="left"/>
              <w:rPr/>
            </w:pPr>
            <w:r>
              <w:rPr/>
              <w:t> </w:t>
            </w:r>
          </w:p>
        </w:tc>
        <w:tc>
          <w:tcPr>
            <w:tcW w:w="435" w:type="dxa"/>
            <w:tcBorders/>
          </w:tcPr>
          <w:p>
            <w:pPr>
              <w:pStyle w:val="TableContents"/>
              <w:bidi w:val="0"/>
              <w:spacing w:before="0" w:after="0"/>
              <w:ind w:left="0" w:right="0" w:hanging="0"/>
              <w:jc w:val="left"/>
              <w:rPr/>
            </w:pPr>
            <w:r>
              <w:rPr/>
              <w:t> </w:t>
            </w:r>
          </w:p>
        </w:tc>
        <w:tc>
          <w:tcPr>
            <w:tcW w:w="4131" w:type="dxa"/>
            <w:tcBorders/>
          </w:tcPr>
          <w:p>
            <w:pPr>
              <w:pStyle w:val="TableContents"/>
              <w:bidi w:val="0"/>
              <w:spacing w:before="0" w:after="0"/>
              <w:ind w:left="0" w:right="0" w:hanging="0"/>
              <w:jc w:val="left"/>
              <w:rPr/>
            </w:pPr>
            <w:r>
              <w:rPr/>
              <w:t> </w:t>
            </w:r>
          </w:p>
        </w:tc>
        <w:tc>
          <w:tcPr>
            <w:tcW w:w="1116" w:type="dxa"/>
            <w:tcBorders/>
          </w:tcPr>
          <w:p>
            <w:pPr>
              <w:pStyle w:val="TableContents"/>
              <w:bidi w:val="0"/>
              <w:spacing w:before="0" w:after="0"/>
              <w:ind w:left="0" w:right="0" w:hanging="0"/>
              <w:jc w:val="left"/>
              <w:rPr/>
            </w:pPr>
            <w:r>
              <w:rPr/>
              <w:t> </w:t>
            </w:r>
          </w:p>
        </w:tc>
      </w:tr>
      <w:tr>
        <w:trPr/>
        <w:tc>
          <w:tcPr>
            <w:tcW w:w="4523" w:type="dxa"/>
            <w:tcBorders/>
          </w:tcPr>
          <w:p>
            <w:pPr>
              <w:pStyle w:val="TableContents"/>
              <w:bidi w:val="0"/>
              <w:spacing w:before="0" w:after="0"/>
              <w:ind w:left="0" w:right="0" w:hanging="0"/>
              <w:jc w:val="left"/>
              <w:rPr/>
            </w:pPr>
            <w:r>
              <w:rPr/>
              <w:t> </w:t>
            </w:r>
          </w:p>
        </w:tc>
        <w:tc>
          <w:tcPr>
            <w:tcW w:w="435" w:type="dxa"/>
            <w:tcBorders/>
          </w:tcPr>
          <w:p>
            <w:pPr>
              <w:pStyle w:val="TableContents"/>
              <w:bidi w:val="0"/>
              <w:spacing w:before="0" w:after="0"/>
              <w:ind w:left="0" w:right="0" w:hanging="0"/>
              <w:jc w:val="left"/>
              <w:rPr/>
            </w:pPr>
            <w:r>
              <w:rPr/>
              <w:t> </w:t>
            </w:r>
          </w:p>
        </w:tc>
        <w:tc>
          <w:tcPr>
            <w:tcW w:w="4131" w:type="dxa"/>
            <w:tcBorders/>
            <w:vAlign w:val="bottom"/>
          </w:tcPr>
          <w:p>
            <w:pPr>
              <w:pStyle w:val="TableContents"/>
              <w:bidi w:val="0"/>
              <w:spacing w:before="0" w:after="0"/>
              <w:ind w:left="0" w:right="0" w:hanging="0"/>
              <w:jc w:val="left"/>
              <w:rPr/>
            </w:pPr>
            <w:r>
              <w:rPr/>
              <w:t> </w:t>
            </w:r>
          </w:p>
        </w:tc>
        <w:tc>
          <w:tcPr>
            <w:tcW w:w="1116" w:type="dxa"/>
            <w:tcBorders/>
          </w:tcPr>
          <w:p>
            <w:pPr>
              <w:pStyle w:val="TableContents"/>
              <w:bidi w:val="0"/>
              <w:spacing w:before="0" w:after="0"/>
              <w:ind w:left="0" w:right="0" w:hanging="0"/>
              <w:jc w:val="left"/>
              <w:rPr/>
            </w:pPr>
            <w:r>
              <w:rPr/>
              <w:t> </w:t>
            </w:r>
          </w:p>
        </w:tc>
      </w:tr>
      <w:tr>
        <w:trPr/>
        <w:tc>
          <w:tcPr>
            <w:tcW w:w="4523" w:type="dxa"/>
            <w:tcBorders/>
          </w:tcPr>
          <w:p>
            <w:pPr>
              <w:pStyle w:val="TableContents"/>
              <w:bidi w:val="0"/>
              <w:spacing w:before="0" w:after="0"/>
              <w:ind w:left="0" w:right="0" w:hanging="0"/>
              <w:jc w:val="left"/>
              <w:rPr/>
            </w:pPr>
            <w:r>
              <w:rPr/>
              <w:t> </w:t>
            </w:r>
          </w:p>
        </w:tc>
        <w:tc>
          <w:tcPr>
            <w:tcW w:w="43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131"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Suzanne Grosso</w:t>
            </w:r>
          </w:p>
        </w:tc>
        <w:tc>
          <w:tcPr>
            <w:tcW w:w="1116" w:type="dxa"/>
            <w:tcBorders/>
          </w:tcPr>
          <w:p>
            <w:pPr>
              <w:pStyle w:val="TableContents"/>
              <w:bidi w:val="0"/>
              <w:spacing w:before="0" w:after="0"/>
              <w:ind w:left="0" w:right="0" w:hanging="0"/>
              <w:jc w:val="left"/>
              <w:rPr/>
            </w:pPr>
            <w:r>
              <w:rPr/>
              <w:t> </w:t>
            </w:r>
          </w:p>
        </w:tc>
      </w:tr>
      <w:tr>
        <w:trPr/>
        <w:tc>
          <w:tcPr>
            <w:tcW w:w="4523" w:type="dxa"/>
            <w:tcBorders/>
          </w:tcPr>
          <w:p>
            <w:pPr>
              <w:pStyle w:val="TableContents"/>
              <w:bidi w:val="0"/>
              <w:spacing w:before="0" w:after="0"/>
              <w:ind w:left="0" w:right="0" w:hanging="0"/>
              <w:jc w:val="left"/>
              <w:rPr/>
            </w:pPr>
            <w:r>
              <w:rPr/>
              <w:t> </w:t>
            </w:r>
          </w:p>
        </w:tc>
        <w:tc>
          <w:tcPr>
            <w:tcW w:w="435" w:type="dxa"/>
            <w:tcBorders/>
          </w:tcPr>
          <w:p>
            <w:pPr>
              <w:pStyle w:val="TableContents"/>
              <w:bidi w:val="0"/>
              <w:spacing w:before="0" w:after="0"/>
              <w:ind w:left="0" w:right="0" w:hanging="0"/>
              <w:jc w:val="left"/>
              <w:rPr/>
            </w:pPr>
            <w:r>
              <w:rPr/>
              <w:t> </w:t>
            </w:r>
          </w:p>
        </w:tc>
        <w:tc>
          <w:tcPr>
            <w:tcW w:w="413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Suzanne Grosso </w:t>
            </w:r>
          </w:p>
        </w:tc>
        <w:tc>
          <w:tcPr>
            <w:tcW w:w="1116" w:type="dxa"/>
            <w:tcBorders/>
          </w:tcPr>
          <w:p>
            <w:pPr>
              <w:pStyle w:val="TableContents"/>
              <w:bidi w:val="0"/>
              <w:spacing w:before="0" w:after="0"/>
              <w:ind w:left="0" w:right="0" w:hanging="0"/>
              <w:jc w:val="left"/>
              <w:rPr/>
            </w:pPr>
            <w:r>
              <w:rPr/>
              <w:t> </w:t>
            </w:r>
          </w:p>
        </w:tc>
      </w:tr>
      <w:tr>
        <w:trPr/>
        <w:tc>
          <w:tcPr>
            <w:tcW w:w="4523" w:type="dxa"/>
            <w:tcBorders/>
          </w:tcPr>
          <w:p>
            <w:pPr>
              <w:pStyle w:val="TableContents"/>
              <w:bidi w:val="0"/>
              <w:spacing w:before="0" w:after="0"/>
              <w:ind w:left="0" w:right="0" w:hanging="0"/>
              <w:jc w:val="left"/>
              <w:rPr/>
            </w:pPr>
            <w:r>
              <w:rPr/>
              <w:t> </w:t>
            </w:r>
          </w:p>
        </w:tc>
        <w:tc>
          <w:tcPr>
            <w:tcW w:w="435" w:type="dxa"/>
            <w:tcBorders/>
          </w:tcPr>
          <w:p>
            <w:pPr>
              <w:pStyle w:val="TableContents"/>
              <w:bidi w:val="0"/>
              <w:spacing w:before="0" w:after="0"/>
              <w:ind w:left="0" w:right="0" w:hanging="0"/>
              <w:jc w:val="left"/>
              <w:rPr/>
            </w:pPr>
            <w:r>
              <w:rPr/>
              <w:t> </w:t>
            </w:r>
          </w:p>
        </w:tc>
        <w:tc>
          <w:tcPr>
            <w:tcW w:w="413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Managing Director </w:t>
            </w:r>
          </w:p>
        </w:tc>
        <w:tc>
          <w:tcPr>
            <w:tcW w:w="1116" w:type="dxa"/>
            <w:tcBorders/>
          </w:tcPr>
          <w:p>
            <w:pPr>
              <w:pStyle w:val="TableContents"/>
              <w:bidi w:val="0"/>
              <w:spacing w:before="0" w:after="0"/>
              <w:ind w:left="0" w:right="0" w:hanging="0"/>
              <w:jc w:val="left"/>
              <w:rPr/>
            </w:pPr>
            <w:r>
              <w:rPr/>
              <w:t> </w:t>
            </w:r>
          </w:p>
        </w:tc>
      </w:tr>
    </w:tbl>
    <w:p>
      <w:pPr>
        <w:pStyle w:val="TextBody"/>
        <w:bidi w:val="0"/>
        <w:spacing w:before="0" w:after="0"/>
        <w:ind w:left="4780" w:right="0" w:hanging="460"/>
        <w:jc w:val="left"/>
        <w:rPr>
          <w:caps w:val="false"/>
          <w:smallCaps w:val="false"/>
        </w:rPr>
      </w:pPr>
      <w:r>
        <w:rPr>
          <w:caps w:val="false"/>
          <w:smallCaps w:val="false"/>
        </w:rPr>
        <w:t> </w:t>
      </w:r>
    </w:p>
    <w:p>
      <w:pPr>
        <w:pStyle w:val="TextBody"/>
        <w:bidi w:val="0"/>
        <w:spacing w:before="0" w:after="0"/>
        <w:ind w:left="0" w:right="0" w:hanging="0"/>
        <w:jc w:val="center"/>
        <w:rPr/>
      </w:pPr>
      <w:r>
        <w:rPr/>
        <w:t>[Signature Page to Limited Waiver and Amendment No. 3 to Financing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77"/>
        <w:gridCol w:w="343"/>
        <w:gridCol w:w="3803"/>
        <w:gridCol w:w="1182"/>
      </w:tblGrid>
      <w:tr>
        <w:trPr/>
        <w:tc>
          <w:tcPr>
            <w:tcW w:w="4877" w:type="dxa"/>
            <w:tcBorders/>
          </w:tcPr>
          <w:p>
            <w:pPr>
              <w:pStyle w:val="TableContents"/>
              <w:bidi w:val="0"/>
              <w:spacing w:before="0" w:after="0"/>
              <w:ind w:left="0" w:right="0" w:hanging="0"/>
              <w:jc w:val="left"/>
              <w:rPr/>
            </w:pPr>
            <w:r>
              <w:rPr/>
              <w:t> </w:t>
            </w:r>
          </w:p>
        </w:tc>
        <w:tc>
          <w:tcPr>
            <w:tcW w:w="4146"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 xml:space="preserve">SERVICING AGENT AND </w:t>
            </w:r>
            <w:r>
              <w:rPr>
                <w:rFonts w:ascii="Times New Roman;Times;serif" w:hAnsi="Times New Roman;Times;serif"/>
                <w:sz w:val="20"/>
              </w:rPr>
              <w:br/>
            </w:r>
            <w:r>
              <w:rPr>
                <w:rFonts w:ascii="Times New Roman;Times;serif" w:hAnsi="Times New Roman;Times;serif"/>
                <w:sz w:val="20"/>
                <w:u w:val="single"/>
              </w:rPr>
              <w:t>A CONSENTING LENDER</w:t>
            </w:r>
            <w:r>
              <w:rPr>
                <w:rFonts w:ascii="Times New Roman;Times;serif" w:hAnsi="Times New Roman;Times;serif"/>
                <w:sz w:val="20"/>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WINGSPIRE CAPITAL LLC</w:t>
            </w:r>
          </w:p>
        </w:tc>
        <w:tc>
          <w:tcPr>
            <w:tcW w:w="1182" w:type="dxa"/>
            <w:tcBorders/>
          </w:tcPr>
          <w:p>
            <w:pPr>
              <w:pStyle w:val="TableContents"/>
              <w:bidi w:val="0"/>
              <w:spacing w:before="0" w:after="0"/>
              <w:ind w:left="0" w:right="0" w:hanging="0"/>
              <w:jc w:val="left"/>
              <w:rPr/>
            </w:pPr>
            <w:r>
              <w:rPr/>
              <w:t> </w:t>
            </w:r>
          </w:p>
        </w:tc>
      </w:tr>
      <w:tr>
        <w:trPr/>
        <w:tc>
          <w:tcPr>
            <w:tcW w:w="4877" w:type="dxa"/>
            <w:tcBorders/>
          </w:tcPr>
          <w:p>
            <w:pPr>
              <w:pStyle w:val="TableContents"/>
              <w:bidi w:val="0"/>
              <w:spacing w:before="0" w:after="0"/>
              <w:ind w:left="0" w:right="0" w:hanging="0"/>
              <w:jc w:val="left"/>
              <w:rPr/>
            </w:pPr>
            <w:r>
              <w:rPr/>
              <w:t> </w:t>
            </w:r>
          </w:p>
        </w:tc>
        <w:tc>
          <w:tcPr>
            <w:tcW w:w="343" w:type="dxa"/>
            <w:tcBorders/>
          </w:tcPr>
          <w:p>
            <w:pPr>
              <w:pStyle w:val="TableContents"/>
              <w:bidi w:val="0"/>
              <w:spacing w:before="0" w:after="0"/>
              <w:ind w:left="0" w:right="0" w:hanging="0"/>
              <w:jc w:val="left"/>
              <w:rPr/>
            </w:pPr>
            <w:r>
              <w:rPr/>
              <w:t> </w:t>
            </w:r>
          </w:p>
        </w:tc>
        <w:tc>
          <w:tcPr>
            <w:tcW w:w="3803" w:type="dxa"/>
            <w:tcBorders/>
          </w:tcPr>
          <w:p>
            <w:pPr>
              <w:pStyle w:val="TableContents"/>
              <w:bidi w:val="0"/>
              <w:spacing w:before="0" w:after="0"/>
              <w:ind w:left="0" w:right="0" w:hanging="0"/>
              <w:jc w:val="left"/>
              <w:rPr/>
            </w:pPr>
            <w:r>
              <w:rPr/>
              <w:t> </w:t>
            </w:r>
          </w:p>
        </w:tc>
        <w:tc>
          <w:tcPr>
            <w:tcW w:w="1182" w:type="dxa"/>
            <w:tcBorders/>
          </w:tcPr>
          <w:p>
            <w:pPr>
              <w:pStyle w:val="TableContents"/>
              <w:bidi w:val="0"/>
              <w:spacing w:before="0" w:after="0"/>
              <w:ind w:left="0" w:right="0" w:hanging="0"/>
              <w:jc w:val="left"/>
              <w:rPr/>
            </w:pPr>
            <w:r>
              <w:rPr/>
              <w:t> </w:t>
            </w:r>
          </w:p>
        </w:tc>
      </w:tr>
      <w:tr>
        <w:trPr/>
        <w:tc>
          <w:tcPr>
            <w:tcW w:w="4877" w:type="dxa"/>
            <w:tcBorders/>
          </w:tcPr>
          <w:p>
            <w:pPr>
              <w:pStyle w:val="TableContents"/>
              <w:bidi w:val="0"/>
              <w:spacing w:before="0" w:after="0"/>
              <w:ind w:left="0" w:right="0" w:hanging="0"/>
              <w:jc w:val="left"/>
              <w:rPr/>
            </w:pPr>
            <w:r>
              <w:rPr/>
              <w:t> </w:t>
            </w:r>
          </w:p>
        </w:tc>
        <w:tc>
          <w:tcPr>
            <w:tcW w:w="343" w:type="dxa"/>
            <w:tcBorders/>
          </w:tcPr>
          <w:p>
            <w:pPr>
              <w:pStyle w:val="TableContents"/>
              <w:bidi w:val="0"/>
              <w:spacing w:before="0" w:after="0"/>
              <w:ind w:left="0" w:right="0" w:hanging="0"/>
              <w:jc w:val="left"/>
              <w:rPr/>
            </w:pPr>
            <w:r>
              <w:rPr/>
              <w:t> </w:t>
            </w:r>
          </w:p>
        </w:tc>
        <w:tc>
          <w:tcPr>
            <w:tcW w:w="3803" w:type="dxa"/>
            <w:tcBorders/>
            <w:vAlign w:val="bottom"/>
          </w:tcPr>
          <w:p>
            <w:pPr>
              <w:pStyle w:val="TableContents"/>
              <w:bidi w:val="0"/>
              <w:spacing w:before="0" w:after="0"/>
              <w:ind w:left="0" w:right="0" w:hanging="0"/>
              <w:jc w:val="left"/>
              <w:rPr/>
            </w:pPr>
            <w:r>
              <w:rPr/>
              <w:t> </w:t>
            </w:r>
          </w:p>
        </w:tc>
        <w:tc>
          <w:tcPr>
            <w:tcW w:w="1182" w:type="dxa"/>
            <w:tcBorders/>
          </w:tcPr>
          <w:p>
            <w:pPr>
              <w:pStyle w:val="TableContents"/>
              <w:bidi w:val="0"/>
              <w:spacing w:before="0" w:after="0"/>
              <w:ind w:left="0" w:right="0" w:hanging="0"/>
              <w:jc w:val="left"/>
              <w:rPr/>
            </w:pPr>
            <w:r>
              <w:rPr/>
              <w:t> </w:t>
            </w:r>
          </w:p>
        </w:tc>
      </w:tr>
      <w:tr>
        <w:trPr/>
        <w:tc>
          <w:tcPr>
            <w:tcW w:w="4877" w:type="dxa"/>
            <w:tcBorders/>
          </w:tcPr>
          <w:p>
            <w:pPr>
              <w:pStyle w:val="TableContents"/>
              <w:bidi w:val="0"/>
              <w:spacing w:before="0" w:after="0"/>
              <w:ind w:left="0" w:right="0" w:hanging="0"/>
              <w:jc w:val="left"/>
              <w:rPr/>
            </w:pPr>
            <w:r>
              <w:rPr/>
              <w:t> </w:t>
            </w:r>
          </w:p>
        </w:tc>
        <w:tc>
          <w:tcPr>
            <w:tcW w:w="34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803"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Westermann</w:t>
            </w:r>
          </w:p>
        </w:tc>
        <w:tc>
          <w:tcPr>
            <w:tcW w:w="1182" w:type="dxa"/>
            <w:tcBorders/>
          </w:tcPr>
          <w:p>
            <w:pPr>
              <w:pStyle w:val="TableContents"/>
              <w:bidi w:val="0"/>
              <w:spacing w:before="0" w:after="0"/>
              <w:ind w:left="0" w:right="0" w:hanging="0"/>
              <w:jc w:val="left"/>
              <w:rPr/>
            </w:pPr>
            <w:r>
              <w:rPr/>
              <w:t> </w:t>
            </w:r>
          </w:p>
        </w:tc>
      </w:tr>
      <w:tr>
        <w:trPr/>
        <w:tc>
          <w:tcPr>
            <w:tcW w:w="4877" w:type="dxa"/>
            <w:tcBorders/>
          </w:tcPr>
          <w:p>
            <w:pPr>
              <w:pStyle w:val="TableContents"/>
              <w:bidi w:val="0"/>
              <w:spacing w:before="0" w:after="0"/>
              <w:ind w:left="0" w:right="0" w:hanging="0"/>
              <w:jc w:val="left"/>
              <w:rPr/>
            </w:pPr>
            <w:r>
              <w:rPr/>
              <w:t> </w:t>
            </w:r>
          </w:p>
        </w:tc>
        <w:tc>
          <w:tcPr>
            <w:tcW w:w="343" w:type="dxa"/>
            <w:tcBorders/>
          </w:tcPr>
          <w:p>
            <w:pPr>
              <w:pStyle w:val="TableContents"/>
              <w:bidi w:val="0"/>
              <w:spacing w:before="0" w:after="0"/>
              <w:ind w:left="0" w:right="0" w:hanging="0"/>
              <w:jc w:val="left"/>
              <w:rPr/>
            </w:pPr>
            <w:r>
              <w:rPr/>
              <w:t> </w:t>
            </w:r>
          </w:p>
        </w:tc>
        <w:tc>
          <w:tcPr>
            <w:tcW w:w="380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Michael Westermann</w:t>
            </w:r>
          </w:p>
        </w:tc>
        <w:tc>
          <w:tcPr>
            <w:tcW w:w="1182" w:type="dxa"/>
            <w:tcBorders/>
          </w:tcPr>
          <w:p>
            <w:pPr>
              <w:pStyle w:val="TableContents"/>
              <w:bidi w:val="0"/>
              <w:spacing w:before="0" w:after="0"/>
              <w:ind w:left="0" w:right="0" w:hanging="0"/>
              <w:jc w:val="left"/>
              <w:rPr/>
            </w:pPr>
            <w:r>
              <w:rPr/>
              <w:t> </w:t>
            </w:r>
          </w:p>
        </w:tc>
      </w:tr>
      <w:tr>
        <w:trPr/>
        <w:tc>
          <w:tcPr>
            <w:tcW w:w="4877" w:type="dxa"/>
            <w:tcBorders/>
          </w:tcPr>
          <w:p>
            <w:pPr>
              <w:pStyle w:val="TableContents"/>
              <w:bidi w:val="0"/>
              <w:spacing w:before="0" w:after="0"/>
              <w:ind w:left="0" w:right="0" w:hanging="0"/>
              <w:jc w:val="left"/>
              <w:rPr/>
            </w:pPr>
            <w:r>
              <w:rPr/>
              <w:t> </w:t>
            </w:r>
          </w:p>
        </w:tc>
        <w:tc>
          <w:tcPr>
            <w:tcW w:w="343" w:type="dxa"/>
            <w:tcBorders/>
          </w:tcPr>
          <w:p>
            <w:pPr>
              <w:pStyle w:val="TableContents"/>
              <w:bidi w:val="0"/>
              <w:spacing w:before="0" w:after="0"/>
              <w:ind w:left="0" w:right="0" w:hanging="0"/>
              <w:jc w:val="left"/>
              <w:rPr/>
            </w:pPr>
            <w:r>
              <w:rPr/>
              <w:t> </w:t>
            </w:r>
          </w:p>
        </w:tc>
        <w:tc>
          <w:tcPr>
            <w:tcW w:w="380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Managing Director</w:t>
            </w:r>
          </w:p>
        </w:tc>
        <w:tc>
          <w:tcPr>
            <w:tcW w:w="1182" w:type="dxa"/>
            <w:tcBorders/>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pPr>
      <w:r>
        <w:rPr/>
        <w:t>[Signature Page to Limited Waiver and Amendment No. 3 to Financing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49"/>
        <w:gridCol w:w="426"/>
        <w:gridCol w:w="3991"/>
        <w:gridCol w:w="1139"/>
      </w:tblGrid>
      <w:tr>
        <w:trPr/>
        <w:tc>
          <w:tcPr>
            <w:tcW w:w="4649" w:type="dxa"/>
            <w:tcBorders/>
          </w:tcPr>
          <w:p>
            <w:pPr>
              <w:pStyle w:val="TableContents"/>
              <w:bidi w:val="0"/>
              <w:spacing w:before="0" w:after="0"/>
              <w:ind w:left="0" w:right="0" w:hanging="0"/>
              <w:jc w:val="left"/>
              <w:rPr/>
            </w:pPr>
            <w:r>
              <w:rPr/>
              <w:t> </w:t>
            </w:r>
          </w:p>
        </w:tc>
        <w:tc>
          <w:tcPr>
            <w:tcW w:w="4417" w:type="dxa"/>
            <w:gridSpan w:val="2"/>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ADDITIONAL CONSENTING LENDERS</w:t>
            </w:r>
            <w:r>
              <w:rPr>
                <w:rFonts w:ascii="Times New Roman" w:hAnsi="Times New Roman"/>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TCW RESCUE FINANCING FUND II LP</w:t>
            </w:r>
          </w:p>
        </w:tc>
        <w:tc>
          <w:tcPr>
            <w:tcW w:w="1139" w:type="dxa"/>
            <w:tcBorders/>
          </w:tcPr>
          <w:p>
            <w:pPr>
              <w:pStyle w:val="TableContents"/>
              <w:bidi w:val="0"/>
              <w:spacing w:before="0" w:after="0"/>
              <w:ind w:left="0" w:right="0" w:hanging="0"/>
              <w:jc w:val="left"/>
              <w:rPr/>
            </w:pPr>
            <w:r>
              <w:rPr/>
              <w:t> </w:t>
            </w:r>
          </w:p>
        </w:tc>
      </w:tr>
      <w:tr>
        <w:trPr/>
        <w:tc>
          <w:tcPr>
            <w:tcW w:w="4649" w:type="dxa"/>
            <w:tcBorders/>
          </w:tcPr>
          <w:p>
            <w:pPr>
              <w:pStyle w:val="TableContents"/>
              <w:bidi w:val="0"/>
              <w:spacing w:before="0" w:after="0"/>
              <w:ind w:left="0" w:right="0" w:hanging="0"/>
              <w:jc w:val="left"/>
              <w:rPr/>
            </w:pPr>
            <w:r>
              <w:rPr/>
              <w:t> </w:t>
            </w:r>
          </w:p>
        </w:tc>
        <w:tc>
          <w:tcPr>
            <w:tcW w:w="426" w:type="dxa"/>
            <w:tcBorders/>
          </w:tcPr>
          <w:p>
            <w:pPr>
              <w:pStyle w:val="TableContents"/>
              <w:bidi w:val="0"/>
              <w:spacing w:before="0" w:after="0"/>
              <w:ind w:left="0" w:right="0" w:hanging="0"/>
              <w:jc w:val="left"/>
              <w:rPr/>
            </w:pPr>
            <w:r>
              <w:rPr/>
              <w:t> </w:t>
            </w:r>
          </w:p>
        </w:tc>
        <w:tc>
          <w:tcPr>
            <w:tcW w:w="3991" w:type="dxa"/>
            <w:tcBorders/>
          </w:tcPr>
          <w:p>
            <w:pPr>
              <w:pStyle w:val="TableContents"/>
              <w:bidi w:val="0"/>
              <w:spacing w:before="0" w:after="0"/>
              <w:ind w:left="0" w:right="0" w:hanging="0"/>
              <w:jc w:val="left"/>
              <w:rPr/>
            </w:pPr>
            <w:r>
              <w:rPr/>
              <w:t> </w:t>
            </w:r>
          </w:p>
        </w:tc>
        <w:tc>
          <w:tcPr>
            <w:tcW w:w="1139" w:type="dxa"/>
            <w:tcBorders/>
          </w:tcPr>
          <w:p>
            <w:pPr>
              <w:pStyle w:val="TableContents"/>
              <w:bidi w:val="0"/>
              <w:spacing w:before="0" w:after="0"/>
              <w:ind w:left="0" w:right="0" w:hanging="0"/>
              <w:jc w:val="left"/>
              <w:rPr/>
            </w:pPr>
            <w:r>
              <w:rPr/>
              <w:t> </w:t>
            </w:r>
          </w:p>
        </w:tc>
      </w:tr>
      <w:tr>
        <w:trPr/>
        <w:tc>
          <w:tcPr>
            <w:tcW w:w="4649" w:type="dxa"/>
            <w:tcBorders/>
          </w:tcPr>
          <w:p>
            <w:pPr>
              <w:pStyle w:val="TableContents"/>
              <w:bidi w:val="0"/>
              <w:spacing w:before="0" w:after="283"/>
              <w:jc w:val="left"/>
              <w:rPr/>
            </w:pPr>
            <w:r>
              <w:rPr/>
              <w:t> </w:t>
            </w:r>
          </w:p>
        </w:tc>
        <w:tc>
          <w:tcPr>
            <w:tcW w:w="426" w:type="dxa"/>
            <w:tcBorders/>
          </w:tcPr>
          <w:p>
            <w:pPr>
              <w:pStyle w:val="TableContents"/>
              <w:bidi w:val="0"/>
              <w:spacing w:before="0" w:after="283"/>
              <w:jc w:val="left"/>
              <w:rPr/>
            </w:pPr>
            <w:r>
              <w:rPr/>
              <w:t> </w:t>
            </w:r>
          </w:p>
        </w:tc>
        <w:tc>
          <w:tcPr>
            <w:tcW w:w="3991" w:type="dxa"/>
            <w:tcBorders/>
          </w:tcPr>
          <w:p>
            <w:pPr>
              <w:pStyle w:val="TableContents"/>
              <w:bidi w:val="0"/>
              <w:spacing w:before="0" w:after="283"/>
              <w:jc w:val="left"/>
              <w:rPr/>
            </w:pPr>
            <w:r>
              <w:rPr/>
              <w:t> </w:t>
            </w:r>
          </w:p>
        </w:tc>
        <w:tc>
          <w:tcPr>
            <w:tcW w:w="1139" w:type="dxa"/>
            <w:tcBorders/>
          </w:tcPr>
          <w:p>
            <w:pPr>
              <w:pStyle w:val="TableContents"/>
              <w:bidi w:val="0"/>
              <w:spacing w:before="0" w:after="283"/>
              <w:jc w:val="left"/>
              <w:rPr/>
            </w:pPr>
            <w:r>
              <w:rPr/>
              <w:t> </w:t>
            </w:r>
          </w:p>
        </w:tc>
      </w:tr>
      <w:tr>
        <w:trPr/>
        <w:tc>
          <w:tcPr>
            <w:tcW w:w="4649" w:type="dxa"/>
            <w:tcBorders/>
          </w:tcPr>
          <w:p>
            <w:pPr>
              <w:pStyle w:val="TableContents"/>
              <w:bidi w:val="0"/>
              <w:spacing w:before="0" w:after="283"/>
              <w:jc w:val="left"/>
              <w:rPr/>
            </w:pPr>
            <w:r>
              <w:rPr/>
              <w:t> </w:t>
            </w:r>
          </w:p>
        </w:tc>
        <w:tc>
          <w:tcPr>
            <w:tcW w:w="426" w:type="dxa"/>
            <w:tcBorders/>
          </w:tcPr>
          <w:p>
            <w:pPr>
              <w:pStyle w:val="TableContents"/>
              <w:bidi w:val="0"/>
              <w:spacing w:before="0" w:after="283"/>
              <w:jc w:val="left"/>
              <w:rPr/>
            </w:pPr>
            <w:r>
              <w:rPr/>
              <w:t>By:</w:t>
            </w:r>
          </w:p>
        </w:tc>
        <w:tc>
          <w:tcPr>
            <w:tcW w:w="3991" w:type="dxa"/>
            <w:tcBorders/>
          </w:tcPr>
          <w:p>
            <w:pPr>
              <w:pStyle w:val="TableContents"/>
              <w:bidi w:val="0"/>
              <w:spacing w:before="0" w:after="283"/>
              <w:jc w:val="left"/>
              <w:rPr/>
            </w:pPr>
            <w:r>
              <w:rPr/>
              <w:t>TCW Asset Management Company LLC, its Investment Advisor</w:t>
            </w:r>
          </w:p>
        </w:tc>
        <w:tc>
          <w:tcPr>
            <w:tcW w:w="1139" w:type="dxa"/>
            <w:tcBorders/>
          </w:tcPr>
          <w:p>
            <w:pPr>
              <w:pStyle w:val="TableContents"/>
              <w:bidi w:val="0"/>
              <w:spacing w:before="0" w:after="283"/>
              <w:jc w:val="left"/>
              <w:rPr/>
            </w:pPr>
            <w:r>
              <w:rPr/>
              <w:t> </w:t>
            </w:r>
          </w:p>
        </w:tc>
      </w:tr>
      <w:tr>
        <w:trPr/>
        <w:tc>
          <w:tcPr>
            <w:tcW w:w="4649" w:type="dxa"/>
            <w:tcBorders/>
          </w:tcPr>
          <w:p>
            <w:pPr>
              <w:pStyle w:val="TableContents"/>
              <w:bidi w:val="0"/>
              <w:spacing w:before="0" w:after="0"/>
              <w:ind w:left="0" w:right="0" w:hanging="0"/>
              <w:jc w:val="left"/>
              <w:rPr/>
            </w:pPr>
            <w:r>
              <w:rPr/>
              <w:t> </w:t>
            </w:r>
          </w:p>
        </w:tc>
        <w:tc>
          <w:tcPr>
            <w:tcW w:w="426" w:type="dxa"/>
            <w:tcBorders/>
          </w:tcPr>
          <w:p>
            <w:pPr>
              <w:pStyle w:val="TableContents"/>
              <w:bidi w:val="0"/>
              <w:spacing w:before="0" w:after="0"/>
              <w:ind w:left="0" w:right="0" w:hanging="0"/>
              <w:jc w:val="left"/>
              <w:rPr/>
            </w:pPr>
            <w:r>
              <w:rPr/>
              <w:t> </w:t>
            </w:r>
          </w:p>
        </w:tc>
        <w:tc>
          <w:tcPr>
            <w:tcW w:w="3991" w:type="dxa"/>
            <w:tcBorders/>
            <w:vAlign w:val="bottom"/>
          </w:tcPr>
          <w:p>
            <w:pPr>
              <w:pStyle w:val="TableContents"/>
              <w:bidi w:val="0"/>
              <w:spacing w:before="0" w:after="0"/>
              <w:ind w:left="0" w:right="0" w:hanging="0"/>
              <w:jc w:val="left"/>
              <w:rPr/>
            </w:pPr>
            <w:r>
              <w:rPr/>
              <w:t> </w:t>
            </w:r>
          </w:p>
        </w:tc>
        <w:tc>
          <w:tcPr>
            <w:tcW w:w="1139" w:type="dxa"/>
            <w:tcBorders/>
          </w:tcPr>
          <w:p>
            <w:pPr>
              <w:pStyle w:val="TableContents"/>
              <w:bidi w:val="0"/>
              <w:spacing w:before="0" w:after="0"/>
              <w:ind w:left="0" w:right="0" w:hanging="0"/>
              <w:jc w:val="left"/>
              <w:rPr/>
            </w:pPr>
            <w:r>
              <w:rPr/>
              <w:t> </w:t>
            </w:r>
          </w:p>
        </w:tc>
      </w:tr>
      <w:tr>
        <w:trPr/>
        <w:tc>
          <w:tcPr>
            <w:tcW w:w="4649" w:type="dxa"/>
            <w:tcBorders/>
          </w:tcPr>
          <w:p>
            <w:pPr>
              <w:pStyle w:val="TableContents"/>
              <w:bidi w:val="0"/>
              <w:spacing w:before="0" w:after="0"/>
              <w:ind w:left="0" w:right="0" w:hanging="0"/>
              <w:jc w:val="left"/>
              <w:rPr/>
            </w:pPr>
            <w:r>
              <w:rPr/>
              <w:t> </w:t>
            </w:r>
          </w:p>
        </w:tc>
        <w:tc>
          <w:tcPr>
            <w:tcW w:w="42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991"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Suzanne Grosso</w:t>
            </w:r>
          </w:p>
        </w:tc>
        <w:tc>
          <w:tcPr>
            <w:tcW w:w="1139" w:type="dxa"/>
            <w:tcBorders/>
          </w:tcPr>
          <w:p>
            <w:pPr>
              <w:pStyle w:val="TableContents"/>
              <w:bidi w:val="0"/>
              <w:spacing w:before="0" w:after="0"/>
              <w:ind w:left="0" w:right="0" w:hanging="0"/>
              <w:jc w:val="left"/>
              <w:rPr/>
            </w:pPr>
            <w:r>
              <w:rPr/>
              <w:t> </w:t>
            </w:r>
          </w:p>
        </w:tc>
      </w:tr>
      <w:tr>
        <w:trPr/>
        <w:tc>
          <w:tcPr>
            <w:tcW w:w="4649" w:type="dxa"/>
            <w:tcBorders/>
          </w:tcPr>
          <w:p>
            <w:pPr>
              <w:pStyle w:val="TableContents"/>
              <w:bidi w:val="0"/>
              <w:spacing w:before="0" w:after="0"/>
              <w:ind w:left="0" w:right="0" w:hanging="0"/>
              <w:jc w:val="left"/>
              <w:rPr/>
            </w:pPr>
            <w:r>
              <w:rPr/>
              <w:t> </w:t>
            </w:r>
          </w:p>
        </w:tc>
        <w:tc>
          <w:tcPr>
            <w:tcW w:w="426" w:type="dxa"/>
            <w:tcBorders/>
          </w:tcPr>
          <w:p>
            <w:pPr>
              <w:pStyle w:val="TableContents"/>
              <w:bidi w:val="0"/>
              <w:spacing w:before="0" w:after="0"/>
              <w:ind w:left="0" w:right="0" w:hanging="0"/>
              <w:jc w:val="left"/>
              <w:rPr/>
            </w:pPr>
            <w:r>
              <w:rPr/>
              <w:t> </w:t>
            </w:r>
          </w:p>
        </w:tc>
        <w:tc>
          <w:tcPr>
            <w:tcW w:w="399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Suzanne Grosso </w:t>
            </w:r>
          </w:p>
        </w:tc>
        <w:tc>
          <w:tcPr>
            <w:tcW w:w="1139" w:type="dxa"/>
            <w:tcBorders/>
          </w:tcPr>
          <w:p>
            <w:pPr>
              <w:pStyle w:val="TableContents"/>
              <w:bidi w:val="0"/>
              <w:spacing w:before="0" w:after="0"/>
              <w:ind w:left="0" w:right="0" w:hanging="0"/>
              <w:jc w:val="left"/>
              <w:rPr/>
            </w:pPr>
            <w:r>
              <w:rPr/>
              <w:t> </w:t>
            </w:r>
          </w:p>
        </w:tc>
      </w:tr>
      <w:tr>
        <w:trPr/>
        <w:tc>
          <w:tcPr>
            <w:tcW w:w="4649" w:type="dxa"/>
            <w:tcBorders/>
          </w:tcPr>
          <w:p>
            <w:pPr>
              <w:pStyle w:val="TableContents"/>
              <w:bidi w:val="0"/>
              <w:spacing w:before="0" w:after="0"/>
              <w:ind w:left="0" w:right="0" w:hanging="0"/>
              <w:jc w:val="left"/>
              <w:rPr/>
            </w:pPr>
            <w:r>
              <w:rPr/>
              <w:t> </w:t>
            </w:r>
          </w:p>
        </w:tc>
        <w:tc>
          <w:tcPr>
            <w:tcW w:w="426" w:type="dxa"/>
            <w:tcBorders/>
          </w:tcPr>
          <w:p>
            <w:pPr>
              <w:pStyle w:val="TableContents"/>
              <w:bidi w:val="0"/>
              <w:spacing w:before="0" w:after="0"/>
              <w:ind w:left="0" w:right="0" w:hanging="0"/>
              <w:jc w:val="left"/>
              <w:rPr/>
            </w:pPr>
            <w:r>
              <w:rPr/>
              <w:t> </w:t>
            </w:r>
          </w:p>
        </w:tc>
        <w:tc>
          <w:tcPr>
            <w:tcW w:w="399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Managing Director </w:t>
            </w:r>
          </w:p>
        </w:tc>
        <w:tc>
          <w:tcPr>
            <w:tcW w:w="1139" w:type="dxa"/>
            <w:tcBorders/>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53"/>
        <w:gridCol w:w="425"/>
        <w:gridCol w:w="3988"/>
        <w:gridCol w:w="1139"/>
      </w:tblGrid>
      <w:tr>
        <w:trPr/>
        <w:tc>
          <w:tcPr>
            <w:tcW w:w="4653" w:type="dxa"/>
            <w:tcBorders/>
          </w:tcPr>
          <w:p>
            <w:pPr>
              <w:pStyle w:val="TableContents"/>
              <w:bidi w:val="0"/>
              <w:spacing w:before="0" w:after="0"/>
              <w:ind w:left="0" w:right="0" w:hanging="0"/>
              <w:jc w:val="left"/>
              <w:rPr/>
            </w:pPr>
            <w:r>
              <w:rPr/>
              <w:t> </w:t>
            </w:r>
          </w:p>
        </w:tc>
        <w:tc>
          <w:tcPr>
            <w:tcW w:w="4413"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TCW WV FINANCING LLC</w:t>
            </w:r>
            <w:r>
              <w:rPr>
                <w:rFonts w:ascii="Times New Roman;Times;serif" w:hAnsi="Times New Roman;Times;serif"/>
                <w:sz w:val="20"/>
              </w:rPr>
              <w:t> </w:t>
            </w:r>
          </w:p>
        </w:tc>
        <w:tc>
          <w:tcPr>
            <w:tcW w:w="1139" w:type="dxa"/>
            <w:tcBorders/>
          </w:tcPr>
          <w:p>
            <w:pPr>
              <w:pStyle w:val="TableContents"/>
              <w:bidi w:val="0"/>
              <w:spacing w:before="0" w:after="0"/>
              <w:ind w:left="0" w:right="0" w:hanging="0"/>
              <w:jc w:val="left"/>
              <w:rPr/>
            </w:pPr>
            <w:r>
              <w:rPr/>
              <w:t> </w:t>
            </w:r>
          </w:p>
        </w:tc>
      </w:tr>
      <w:tr>
        <w:trPr/>
        <w:tc>
          <w:tcPr>
            <w:tcW w:w="4653" w:type="dxa"/>
            <w:tcBorders/>
          </w:tcPr>
          <w:p>
            <w:pPr>
              <w:pStyle w:val="TableContents"/>
              <w:bidi w:val="0"/>
              <w:spacing w:before="0" w:after="0"/>
              <w:ind w:left="0" w:right="0" w:hanging="0"/>
              <w:jc w:val="left"/>
              <w:rPr/>
            </w:pPr>
            <w:r>
              <w:rPr/>
              <w:t> </w:t>
            </w:r>
          </w:p>
        </w:tc>
        <w:tc>
          <w:tcPr>
            <w:tcW w:w="425" w:type="dxa"/>
            <w:tcBorders/>
          </w:tcPr>
          <w:p>
            <w:pPr>
              <w:pStyle w:val="TableContents"/>
              <w:bidi w:val="0"/>
              <w:spacing w:before="0" w:after="0"/>
              <w:ind w:left="0" w:right="0" w:hanging="0"/>
              <w:jc w:val="left"/>
              <w:rPr/>
            </w:pPr>
            <w:r>
              <w:rPr/>
              <w:t> </w:t>
            </w:r>
          </w:p>
        </w:tc>
        <w:tc>
          <w:tcPr>
            <w:tcW w:w="3988" w:type="dxa"/>
            <w:tcBorders/>
          </w:tcPr>
          <w:p>
            <w:pPr>
              <w:pStyle w:val="TableContents"/>
              <w:bidi w:val="0"/>
              <w:spacing w:before="0" w:after="0"/>
              <w:ind w:left="0" w:right="0" w:hanging="0"/>
              <w:jc w:val="left"/>
              <w:rPr/>
            </w:pPr>
            <w:r>
              <w:rPr/>
              <w:t> </w:t>
            </w:r>
          </w:p>
        </w:tc>
        <w:tc>
          <w:tcPr>
            <w:tcW w:w="1139" w:type="dxa"/>
            <w:tcBorders/>
          </w:tcPr>
          <w:p>
            <w:pPr>
              <w:pStyle w:val="TableContents"/>
              <w:bidi w:val="0"/>
              <w:spacing w:before="0" w:after="0"/>
              <w:ind w:left="0" w:right="0" w:hanging="0"/>
              <w:jc w:val="left"/>
              <w:rPr/>
            </w:pPr>
            <w:r>
              <w:rPr/>
              <w:t> </w:t>
            </w:r>
          </w:p>
        </w:tc>
      </w:tr>
      <w:tr>
        <w:trPr/>
        <w:tc>
          <w:tcPr>
            <w:tcW w:w="4653"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By:</w:t>
            </w:r>
          </w:p>
        </w:tc>
        <w:tc>
          <w:tcPr>
            <w:tcW w:w="3988" w:type="dxa"/>
            <w:tcBorders/>
          </w:tcPr>
          <w:p>
            <w:pPr>
              <w:pStyle w:val="TableContents"/>
              <w:bidi w:val="0"/>
              <w:spacing w:before="0" w:after="283"/>
              <w:jc w:val="left"/>
              <w:rPr/>
            </w:pPr>
            <w:r>
              <w:rPr/>
              <w:t>TCW Asset Management Company LLC, its Collateral Manager</w:t>
            </w:r>
          </w:p>
        </w:tc>
        <w:tc>
          <w:tcPr>
            <w:tcW w:w="1139" w:type="dxa"/>
            <w:tcBorders/>
          </w:tcPr>
          <w:p>
            <w:pPr>
              <w:pStyle w:val="TableContents"/>
              <w:bidi w:val="0"/>
              <w:spacing w:before="0" w:after="283"/>
              <w:jc w:val="left"/>
              <w:rPr/>
            </w:pPr>
            <w:r>
              <w:rPr/>
              <w:t> </w:t>
            </w:r>
          </w:p>
        </w:tc>
      </w:tr>
      <w:tr>
        <w:trPr/>
        <w:tc>
          <w:tcPr>
            <w:tcW w:w="4653"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3988" w:type="dxa"/>
            <w:tcBorders/>
          </w:tcPr>
          <w:p>
            <w:pPr>
              <w:pStyle w:val="TableContents"/>
              <w:bidi w:val="0"/>
              <w:spacing w:before="0" w:after="283"/>
              <w:jc w:val="left"/>
              <w:rPr/>
            </w:pPr>
            <w:r>
              <w:rPr/>
              <w:t> </w:t>
            </w:r>
          </w:p>
        </w:tc>
        <w:tc>
          <w:tcPr>
            <w:tcW w:w="1139" w:type="dxa"/>
            <w:tcBorders/>
          </w:tcPr>
          <w:p>
            <w:pPr>
              <w:pStyle w:val="TableContents"/>
              <w:bidi w:val="0"/>
              <w:spacing w:before="0" w:after="283"/>
              <w:jc w:val="left"/>
              <w:rPr/>
            </w:pPr>
            <w:r>
              <w:rPr/>
              <w:t> </w:t>
            </w:r>
          </w:p>
        </w:tc>
      </w:tr>
      <w:tr>
        <w:trPr/>
        <w:tc>
          <w:tcPr>
            <w:tcW w:w="4653" w:type="dxa"/>
            <w:tcBorders/>
          </w:tcPr>
          <w:p>
            <w:pPr>
              <w:pStyle w:val="TableContents"/>
              <w:bidi w:val="0"/>
              <w:spacing w:before="0" w:after="0"/>
              <w:ind w:left="0" w:right="0" w:hanging="0"/>
              <w:jc w:val="left"/>
              <w:rPr/>
            </w:pPr>
            <w:r>
              <w:rPr/>
              <w:t> </w:t>
            </w:r>
          </w:p>
        </w:tc>
        <w:tc>
          <w:tcPr>
            <w:tcW w:w="425" w:type="dxa"/>
            <w:tcBorders/>
          </w:tcPr>
          <w:p>
            <w:pPr>
              <w:pStyle w:val="TableContents"/>
              <w:bidi w:val="0"/>
              <w:spacing w:before="0" w:after="0"/>
              <w:ind w:left="0" w:right="0" w:hanging="0"/>
              <w:jc w:val="left"/>
              <w:rPr/>
            </w:pPr>
            <w:r>
              <w:rPr/>
              <w:t> </w:t>
            </w:r>
          </w:p>
        </w:tc>
        <w:tc>
          <w:tcPr>
            <w:tcW w:w="3988" w:type="dxa"/>
            <w:tcBorders/>
            <w:vAlign w:val="bottom"/>
          </w:tcPr>
          <w:p>
            <w:pPr>
              <w:pStyle w:val="TableContents"/>
              <w:bidi w:val="0"/>
              <w:spacing w:before="0" w:after="0"/>
              <w:ind w:left="0" w:right="0" w:hanging="0"/>
              <w:jc w:val="left"/>
              <w:rPr/>
            </w:pPr>
            <w:r>
              <w:rPr/>
              <w:t> </w:t>
            </w:r>
          </w:p>
        </w:tc>
        <w:tc>
          <w:tcPr>
            <w:tcW w:w="1139" w:type="dxa"/>
            <w:tcBorders/>
          </w:tcPr>
          <w:p>
            <w:pPr>
              <w:pStyle w:val="TableContents"/>
              <w:bidi w:val="0"/>
              <w:spacing w:before="0" w:after="0"/>
              <w:ind w:left="0" w:right="0" w:hanging="0"/>
              <w:jc w:val="left"/>
              <w:rPr/>
            </w:pPr>
            <w:r>
              <w:rPr/>
              <w:t> </w:t>
            </w:r>
          </w:p>
        </w:tc>
      </w:tr>
      <w:tr>
        <w:trPr/>
        <w:tc>
          <w:tcPr>
            <w:tcW w:w="4653" w:type="dxa"/>
            <w:tcBorders/>
          </w:tcPr>
          <w:p>
            <w:pPr>
              <w:pStyle w:val="TableContents"/>
              <w:bidi w:val="0"/>
              <w:spacing w:before="0" w:after="0"/>
              <w:ind w:left="0" w:right="0" w:hanging="0"/>
              <w:jc w:val="left"/>
              <w:rPr/>
            </w:pPr>
            <w:r>
              <w:rPr/>
              <w:t> </w:t>
            </w:r>
          </w:p>
        </w:tc>
        <w:tc>
          <w:tcPr>
            <w:tcW w:w="42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988"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Suzanne Grosso</w:t>
            </w:r>
          </w:p>
        </w:tc>
        <w:tc>
          <w:tcPr>
            <w:tcW w:w="1139" w:type="dxa"/>
            <w:tcBorders/>
          </w:tcPr>
          <w:p>
            <w:pPr>
              <w:pStyle w:val="TableContents"/>
              <w:bidi w:val="0"/>
              <w:spacing w:before="0" w:after="0"/>
              <w:ind w:left="0" w:right="0" w:hanging="0"/>
              <w:jc w:val="left"/>
              <w:rPr/>
            </w:pPr>
            <w:r>
              <w:rPr/>
              <w:t> </w:t>
            </w:r>
          </w:p>
        </w:tc>
      </w:tr>
      <w:tr>
        <w:trPr/>
        <w:tc>
          <w:tcPr>
            <w:tcW w:w="4653" w:type="dxa"/>
            <w:tcBorders/>
          </w:tcPr>
          <w:p>
            <w:pPr>
              <w:pStyle w:val="TableContents"/>
              <w:bidi w:val="0"/>
              <w:spacing w:before="0" w:after="0"/>
              <w:ind w:left="0" w:right="0" w:hanging="0"/>
              <w:jc w:val="left"/>
              <w:rPr/>
            </w:pPr>
            <w:r>
              <w:rPr/>
              <w:t> </w:t>
            </w:r>
          </w:p>
        </w:tc>
        <w:tc>
          <w:tcPr>
            <w:tcW w:w="425" w:type="dxa"/>
            <w:tcBorders/>
          </w:tcPr>
          <w:p>
            <w:pPr>
              <w:pStyle w:val="TableContents"/>
              <w:bidi w:val="0"/>
              <w:spacing w:before="0" w:after="0"/>
              <w:ind w:left="0" w:right="0" w:hanging="0"/>
              <w:jc w:val="left"/>
              <w:rPr/>
            </w:pPr>
            <w:r>
              <w:rPr/>
              <w:t> </w:t>
            </w:r>
          </w:p>
        </w:tc>
        <w:tc>
          <w:tcPr>
            <w:tcW w:w="3988"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Suzanne Grosso </w:t>
            </w:r>
          </w:p>
        </w:tc>
        <w:tc>
          <w:tcPr>
            <w:tcW w:w="1139" w:type="dxa"/>
            <w:tcBorders/>
          </w:tcPr>
          <w:p>
            <w:pPr>
              <w:pStyle w:val="TableContents"/>
              <w:bidi w:val="0"/>
              <w:spacing w:before="0" w:after="0"/>
              <w:ind w:left="0" w:right="0" w:hanging="0"/>
              <w:jc w:val="left"/>
              <w:rPr/>
            </w:pPr>
            <w:r>
              <w:rPr/>
              <w:t> </w:t>
            </w:r>
          </w:p>
        </w:tc>
      </w:tr>
      <w:tr>
        <w:trPr/>
        <w:tc>
          <w:tcPr>
            <w:tcW w:w="4653" w:type="dxa"/>
            <w:tcBorders/>
          </w:tcPr>
          <w:p>
            <w:pPr>
              <w:pStyle w:val="TableContents"/>
              <w:bidi w:val="0"/>
              <w:spacing w:before="0" w:after="0"/>
              <w:ind w:left="0" w:right="0" w:hanging="0"/>
              <w:jc w:val="left"/>
              <w:rPr/>
            </w:pPr>
            <w:r>
              <w:rPr/>
              <w:t> </w:t>
            </w:r>
          </w:p>
        </w:tc>
        <w:tc>
          <w:tcPr>
            <w:tcW w:w="425" w:type="dxa"/>
            <w:tcBorders/>
          </w:tcPr>
          <w:p>
            <w:pPr>
              <w:pStyle w:val="TableContents"/>
              <w:bidi w:val="0"/>
              <w:spacing w:before="0" w:after="0"/>
              <w:ind w:left="0" w:right="0" w:hanging="0"/>
              <w:jc w:val="left"/>
              <w:rPr/>
            </w:pPr>
            <w:r>
              <w:rPr/>
              <w:t> </w:t>
            </w:r>
          </w:p>
        </w:tc>
        <w:tc>
          <w:tcPr>
            <w:tcW w:w="3988"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Managing Director </w:t>
            </w:r>
          </w:p>
        </w:tc>
        <w:tc>
          <w:tcPr>
            <w:tcW w:w="1139"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[Signature Page to Limited Waiver and Amendment No. 3 to Financing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65"/>
        <w:gridCol w:w="425"/>
        <w:gridCol w:w="4091"/>
        <w:gridCol w:w="1124"/>
      </w:tblGrid>
      <w:tr>
        <w:trPr/>
        <w:tc>
          <w:tcPr>
            <w:tcW w:w="4565" w:type="dxa"/>
            <w:tcBorders/>
          </w:tcPr>
          <w:p>
            <w:pPr>
              <w:pStyle w:val="TableContents"/>
              <w:bidi w:val="0"/>
              <w:spacing w:before="0" w:after="0"/>
              <w:ind w:left="0" w:right="0" w:hanging="0"/>
              <w:jc w:val="left"/>
              <w:rPr/>
            </w:pPr>
            <w:r>
              <w:rPr/>
              <w:t> </w:t>
            </w:r>
          </w:p>
        </w:tc>
        <w:tc>
          <w:tcPr>
            <w:tcW w:w="4516"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FIRST TRUST ALTERNATIVE OPPORTUNITIES FUND</w:t>
            </w:r>
            <w:r>
              <w:rPr>
                <w:rFonts w:ascii="Times New Roman;Times;serif" w:hAnsi="Times New Roman;Times;serif"/>
                <w:sz w:val="20"/>
              </w:rPr>
              <w:t> </w:t>
            </w:r>
          </w:p>
        </w:tc>
        <w:tc>
          <w:tcPr>
            <w:tcW w:w="1124" w:type="dxa"/>
            <w:tcBorders/>
          </w:tcPr>
          <w:p>
            <w:pPr>
              <w:pStyle w:val="TableContents"/>
              <w:bidi w:val="0"/>
              <w:spacing w:before="0" w:after="0"/>
              <w:ind w:left="0" w:right="0" w:hanging="0"/>
              <w:jc w:val="left"/>
              <w:rPr/>
            </w:pPr>
            <w:r>
              <w:rPr/>
              <w:t> </w:t>
            </w:r>
          </w:p>
        </w:tc>
      </w:tr>
      <w:tr>
        <w:trPr/>
        <w:tc>
          <w:tcPr>
            <w:tcW w:w="4565" w:type="dxa"/>
            <w:tcBorders/>
          </w:tcPr>
          <w:p>
            <w:pPr>
              <w:pStyle w:val="TableContents"/>
              <w:bidi w:val="0"/>
              <w:spacing w:before="0" w:after="0"/>
              <w:ind w:left="0" w:right="0" w:hanging="0"/>
              <w:jc w:val="left"/>
              <w:rPr/>
            </w:pPr>
            <w:r>
              <w:rPr/>
              <w:t> </w:t>
            </w:r>
          </w:p>
        </w:tc>
        <w:tc>
          <w:tcPr>
            <w:tcW w:w="425" w:type="dxa"/>
            <w:tcBorders/>
          </w:tcPr>
          <w:p>
            <w:pPr>
              <w:pStyle w:val="TableContents"/>
              <w:bidi w:val="0"/>
              <w:spacing w:before="0" w:after="0"/>
              <w:ind w:left="0" w:right="0" w:hanging="0"/>
              <w:jc w:val="left"/>
              <w:rPr/>
            </w:pPr>
            <w:r>
              <w:rPr/>
              <w:t> </w:t>
            </w:r>
          </w:p>
        </w:tc>
        <w:tc>
          <w:tcPr>
            <w:tcW w:w="4091" w:type="dxa"/>
            <w:tcBorders/>
          </w:tcPr>
          <w:p>
            <w:pPr>
              <w:pStyle w:val="TableContents"/>
              <w:bidi w:val="0"/>
              <w:spacing w:before="0" w:after="0"/>
              <w:ind w:left="0" w:right="0" w:hanging="0"/>
              <w:jc w:val="left"/>
              <w:rPr/>
            </w:pPr>
            <w:r>
              <w:rPr/>
              <w:t> </w:t>
            </w:r>
          </w:p>
        </w:tc>
        <w:tc>
          <w:tcPr>
            <w:tcW w:w="1124" w:type="dxa"/>
            <w:tcBorders/>
          </w:tcPr>
          <w:p>
            <w:pPr>
              <w:pStyle w:val="TableContents"/>
              <w:bidi w:val="0"/>
              <w:spacing w:before="0" w:after="0"/>
              <w:ind w:left="0" w:right="0" w:hanging="0"/>
              <w:jc w:val="left"/>
              <w:rPr/>
            </w:pPr>
            <w:r>
              <w:rPr/>
              <w:t> </w:t>
            </w:r>
          </w:p>
        </w:tc>
      </w:tr>
      <w:tr>
        <w:trPr/>
        <w:tc>
          <w:tcPr>
            <w:tcW w:w="4565" w:type="dxa"/>
            <w:tcBorders/>
          </w:tcPr>
          <w:p>
            <w:pPr>
              <w:pStyle w:val="TableContents"/>
              <w:bidi w:val="0"/>
              <w:spacing w:before="0" w:after="0"/>
              <w:ind w:left="0" w:right="0" w:hanging="0"/>
              <w:jc w:val="left"/>
              <w:rPr/>
            </w:pPr>
            <w:r>
              <w:rPr/>
              <w:t> </w:t>
            </w:r>
          </w:p>
        </w:tc>
        <w:tc>
          <w:tcPr>
            <w:tcW w:w="425" w:type="dxa"/>
            <w:tcBorders/>
          </w:tcPr>
          <w:p>
            <w:pPr>
              <w:pStyle w:val="TableContents"/>
              <w:bidi w:val="0"/>
              <w:spacing w:before="0" w:after="0"/>
              <w:ind w:left="0" w:right="0" w:hanging="0"/>
              <w:jc w:val="left"/>
              <w:rPr/>
            </w:pPr>
            <w:r>
              <w:rPr/>
              <w:t> </w:t>
            </w:r>
          </w:p>
        </w:tc>
        <w:tc>
          <w:tcPr>
            <w:tcW w:w="4091" w:type="dxa"/>
            <w:tcBorders/>
            <w:vAlign w:val="bottom"/>
          </w:tcPr>
          <w:p>
            <w:pPr>
              <w:pStyle w:val="TableContents"/>
              <w:bidi w:val="0"/>
              <w:spacing w:before="0" w:after="0"/>
              <w:ind w:left="0" w:right="0" w:hanging="0"/>
              <w:jc w:val="left"/>
              <w:rPr/>
            </w:pPr>
            <w:r>
              <w:rPr/>
              <w:t> </w:t>
            </w:r>
          </w:p>
        </w:tc>
        <w:tc>
          <w:tcPr>
            <w:tcW w:w="1124" w:type="dxa"/>
            <w:tcBorders/>
          </w:tcPr>
          <w:p>
            <w:pPr>
              <w:pStyle w:val="TableContents"/>
              <w:bidi w:val="0"/>
              <w:spacing w:before="0" w:after="0"/>
              <w:ind w:left="0" w:right="0" w:hanging="0"/>
              <w:jc w:val="left"/>
              <w:rPr/>
            </w:pPr>
            <w:r>
              <w:rPr/>
              <w:t> </w:t>
            </w:r>
          </w:p>
        </w:tc>
      </w:tr>
      <w:tr>
        <w:trPr/>
        <w:tc>
          <w:tcPr>
            <w:tcW w:w="4565" w:type="dxa"/>
            <w:tcBorders/>
          </w:tcPr>
          <w:p>
            <w:pPr>
              <w:pStyle w:val="TableContents"/>
              <w:bidi w:val="0"/>
              <w:spacing w:before="0" w:after="0"/>
              <w:ind w:left="0" w:right="0" w:hanging="0"/>
              <w:jc w:val="left"/>
              <w:rPr/>
            </w:pPr>
            <w:r>
              <w:rPr/>
              <w:t> </w:t>
            </w:r>
          </w:p>
        </w:tc>
        <w:tc>
          <w:tcPr>
            <w:tcW w:w="42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091"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Chad Eisenberg</w:t>
            </w:r>
          </w:p>
        </w:tc>
        <w:tc>
          <w:tcPr>
            <w:tcW w:w="1124" w:type="dxa"/>
            <w:tcBorders/>
          </w:tcPr>
          <w:p>
            <w:pPr>
              <w:pStyle w:val="TableContents"/>
              <w:bidi w:val="0"/>
              <w:spacing w:before="0" w:after="0"/>
              <w:ind w:left="0" w:right="0" w:hanging="0"/>
              <w:jc w:val="left"/>
              <w:rPr/>
            </w:pPr>
            <w:r>
              <w:rPr/>
              <w:t> </w:t>
            </w:r>
          </w:p>
        </w:tc>
      </w:tr>
      <w:tr>
        <w:trPr/>
        <w:tc>
          <w:tcPr>
            <w:tcW w:w="4565" w:type="dxa"/>
            <w:tcBorders/>
          </w:tcPr>
          <w:p>
            <w:pPr>
              <w:pStyle w:val="TableContents"/>
              <w:bidi w:val="0"/>
              <w:spacing w:before="0" w:after="0"/>
              <w:ind w:left="0" w:right="0" w:hanging="0"/>
              <w:jc w:val="left"/>
              <w:rPr/>
            </w:pPr>
            <w:r>
              <w:rPr/>
              <w:t> </w:t>
            </w:r>
          </w:p>
        </w:tc>
        <w:tc>
          <w:tcPr>
            <w:tcW w:w="425" w:type="dxa"/>
            <w:tcBorders/>
          </w:tcPr>
          <w:p>
            <w:pPr>
              <w:pStyle w:val="TableContents"/>
              <w:bidi w:val="0"/>
              <w:spacing w:before="0" w:after="0"/>
              <w:ind w:left="0" w:right="0" w:hanging="0"/>
              <w:jc w:val="left"/>
              <w:rPr/>
            </w:pPr>
            <w:r>
              <w:rPr/>
              <w:t> </w:t>
            </w:r>
          </w:p>
        </w:tc>
        <w:tc>
          <w:tcPr>
            <w:tcW w:w="409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Chad Eisenberg </w:t>
            </w:r>
          </w:p>
        </w:tc>
        <w:tc>
          <w:tcPr>
            <w:tcW w:w="1124" w:type="dxa"/>
            <w:tcBorders/>
          </w:tcPr>
          <w:p>
            <w:pPr>
              <w:pStyle w:val="TableContents"/>
              <w:bidi w:val="0"/>
              <w:spacing w:before="0" w:after="0"/>
              <w:ind w:left="0" w:right="0" w:hanging="0"/>
              <w:jc w:val="left"/>
              <w:rPr/>
            </w:pPr>
            <w:r>
              <w:rPr/>
              <w:t> </w:t>
            </w:r>
          </w:p>
        </w:tc>
      </w:tr>
      <w:tr>
        <w:trPr/>
        <w:tc>
          <w:tcPr>
            <w:tcW w:w="4565" w:type="dxa"/>
            <w:tcBorders/>
          </w:tcPr>
          <w:p>
            <w:pPr>
              <w:pStyle w:val="TableContents"/>
              <w:bidi w:val="0"/>
              <w:spacing w:before="0" w:after="0"/>
              <w:ind w:left="0" w:right="0" w:hanging="0"/>
              <w:jc w:val="left"/>
              <w:rPr/>
            </w:pPr>
            <w:r>
              <w:rPr/>
              <w:t> </w:t>
            </w:r>
          </w:p>
        </w:tc>
        <w:tc>
          <w:tcPr>
            <w:tcW w:w="425" w:type="dxa"/>
            <w:tcBorders/>
          </w:tcPr>
          <w:p>
            <w:pPr>
              <w:pStyle w:val="TableContents"/>
              <w:bidi w:val="0"/>
              <w:spacing w:before="0" w:after="0"/>
              <w:ind w:left="0" w:right="0" w:hanging="0"/>
              <w:jc w:val="left"/>
              <w:rPr/>
            </w:pPr>
            <w:r>
              <w:rPr/>
              <w:t> </w:t>
            </w:r>
          </w:p>
        </w:tc>
        <w:tc>
          <w:tcPr>
            <w:tcW w:w="409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Operating Officer </w:t>
            </w:r>
          </w:p>
        </w:tc>
        <w:tc>
          <w:tcPr>
            <w:tcW w:w="1124" w:type="dxa"/>
            <w:tcBorders/>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49"/>
        <w:gridCol w:w="384"/>
        <w:gridCol w:w="3913"/>
        <w:gridCol w:w="1159"/>
      </w:tblGrid>
      <w:tr>
        <w:trPr/>
        <w:tc>
          <w:tcPr>
            <w:tcW w:w="4749" w:type="dxa"/>
            <w:tcBorders/>
          </w:tcPr>
          <w:p>
            <w:pPr>
              <w:pStyle w:val="TableContents"/>
              <w:bidi w:val="0"/>
              <w:spacing w:before="0" w:after="0"/>
              <w:ind w:left="0" w:right="0" w:hanging="0"/>
              <w:jc w:val="left"/>
              <w:rPr/>
            </w:pPr>
            <w:r>
              <w:rPr/>
              <w:t> </w:t>
            </w:r>
          </w:p>
        </w:tc>
        <w:tc>
          <w:tcPr>
            <w:tcW w:w="4297"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FIRST TRUST PRIVATE CREDIT FUND</w:t>
            </w:r>
            <w:r>
              <w:rPr>
                <w:rFonts w:ascii="Times New Roman;Times;serif" w:hAnsi="Times New Roman;Times;serif"/>
                <w:sz w:val="20"/>
              </w:rPr>
              <w:t> </w:t>
            </w:r>
          </w:p>
        </w:tc>
        <w:tc>
          <w:tcPr>
            <w:tcW w:w="1159" w:type="dxa"/>
            <w:tcBorders/>
          </w:tcPr>
          <w:p>
            <w:pPr>
              <w:pStyle w:val="TableContents"/>
              <w:bidi w:val="0"/>
              <w:spacing w:before="0" w:after="0"/>
              <w:ind w:left="0" w:right="0" w:hanging="0"/>
              <w:jc w:val="left"/>
              <w:rPr/>
            </w:pPr>
            <w:r>
              <w:rPr/>
              <w:t> </w:t>
            </w:r>
          </w:p>
        </w:tc>
      </w:tr>
      <w:tr>
        <w:trPr/>
        <w:tc>
          <w:tcPr>
            <w:tcW w:w="4749" w:type="dxa"/>
            <w:tcBorders/>
          </w:tcPr>
          <w:p>
            <w:pPr>
              <w:pStyle w:val="TableContents"/>
              <w:bidi w:val="0"/>
              <w:spacing w:before="0" w:after="0"/>
              <w:ind w:left="0" w:right="0" w:hanging="0"/>
              <w:jc w:val="left"/>
              <w:rPr/>
            </w:pPr>
            <w:r>
              <w:rPr/>
              <w:t> </w:t>
            </w:r>
          </w:p>
        </w:tc>
        <w:tc>
          <w:tcPr>
            <w:tcW w:w="384" w:type="dxa"/>
            <w:tcBorders/>
          </w:tcPr>
          <w:p>
            <w:pPr>
              <w:pStyle w:val="TableContents"/>
              <w:bidi w:val="0"/>
              <w:spacing w:before="0" w:after="0"/>
              <w:ind w:left="0" w:right="0" w:hanging="0"/>
              <w:jc w:val="left"/>
              <w:rPr/>
            </w:pPr>
            <w:r>
              <w:rPr/>
              <w:t> </w:t>
            </w:r>
          </w:p>
        </w:tc>
        <w:tc>
          <w:tcPr>
            <w:tcW w:w="3913" w:type="dxa"/>
            <w:tcBorders/>
          </w:tcPr>
          <w:p>
            <w:pPr>
              <w:pStyle w:val="TableContents"/>
              <w:bidi w:val="0"/>
              <w:spacing w:before="0" w:after="0"/>
              <w:ind w:left="0" w:right="0" w:hanging="0"/>
              <w:jc w:val="left"/>
              <w:rPr/>
            </w:pPr>
            <w:r>
              <w:rPr/>
              <w:t> </w:t>
            </w:r>
          </w:p>
        </w:tc>
        <w:tc>
          <w:tcPr>
            <w:tcW w:w="1159" w:type="dxa"/>
            <w:tcBorders/>
          </w:tcPr>
          <w:p>
            <w:pPr>
              <w:pStyle w:val="TableContents"/>
              <w:bidi w:val="0"/>
              <w:spacing w:before="0" w:after="0"/>
              <w:ind w:left="0" w:right="0" w:hanging="0"/>
              <w:jc w:val="left"/>
              <w:rPr/>
            </w:pPr>
            <w:r>
              <w:rPr/>
              <w:t> </w:t>
            </w:r>
          </w:p>
        </w:tc>
      </w:tr>
      <w:tr>
        <w:trPr/>
        <w:tc>
          <w:tcPr>
            <w:tcW w:w="4749" w:type="dxa"/>
            <w:tcBorders/>
          </w:tcPr>
          <w:p>
            <w:pPr>
              <w:pStyle w:val="TableContents"/>
              <w:bidi w:val="0"/>
              <w:spacing w:before="0" w:after="0"/>
              <w:ind w:left="0" w:right="0" w:hanging="0"/>
              <w:jc w:val="left"/>
              <w:rPr/>
            </w:pPr>
            <w:r>
              <w:rPr/>
              <w:t> </w:t>
            </w:r>
          </w:p>
        </w:tc>
        <w:tc>
          <w:tcPr>
            <w:tcW w:w="384" w:type="dxa"/>
            <w:tcBorders/>
          </w:tcPr>
          <w:p>
            <w:pPr>
              <w:pStyle w:val="TableContents"/>
              <w:bidi w:val="0"/>
              <w:spacing w:before="0" w:after="0"/>
              <w:ind w:left="0" w:right="0" w:hanging="0"/>
              <w:jc w:val="left"/>
              <w:rPr/>
            </w:pPr>
            <w:r>
              <w:rPr/>
              <w:t> </w:t>
            </w:r>
          </w:p>
        </w:tc>
        <w:tc>
          <w:tcPr>
            <w:tcW w:w="3913" w:type="dxa"/>
            <w:tcBorders/>
            <w:vAlign w:val="bottom"/>
          </w:tcPr>
          <w:p>
            <w:pPr>
              <w:pStyle w:val="TableContents"/>
              <w:bidi w:val="0"/>
              <w:spacing w:before="0" w:after="0"/>
              <w:ind w:left="0" w:right="0" w:hanging="0"/>
              <w:jc w:val="left"/>
              <w:rPr/>
            </w:pPr>
            <w:r>
              <w:rPr/>
              <w:t> </w:t>
            </w:r>
          </w:p>
        </w:tc>
        <w:tc>
          <w:tcPr>
            <w:tcW w:w="1159" w:type="dxa"/>
            <w:tcBorders/>
          </w:tcPr>
          <w:p>
            <w:pPr>
              <w:pStyle w:val="TableContents"/>
              <w:bidi w:val="0"/>
              <w:spacing w:before="0" w:after="0"/>
              <w:ind w:left="0" w:right="0" w:hanging="0"/>
              <w:jc w:val="left"/>
              <w:rPr/>
            </w:pPr>
            <w:r>
              <w:rPr/>
              <w:t> </w:t>
            </w:r>
          </w:p>
        </w:tc>
      </w:tr>
      <w:tr>
        <w:trPr/>
        <w:tc>
          <w:tcPr>
            <w:tcW w:w="4749" w:type="dxa"/>
            <w:tcBorders/>
          </w:tcPr>
          <w:p>
            <w:pPr>
              <w:pStyle w:val="TableContents"/>
              <w:bidi w:val="0"/>
              <w:spacing w:before="0" w:after="0"/>
              <w:ind w:left="0" w:right="0" w:hanging="0"/>
              <w:jc w:val="left"/>
              <w:rPr/>
            </w:pPr>
            <w:r>
              <w:rPr/>
              <w:t> </w:t>
            </w:r>
          </w:p>
        </w:tc>
        <w:tc>
          <w:tcPr>
            <w:tcW w:w="38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913"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Chad Eisenberg</w:t>
            </w:r>
          </w:p>
        </w:tc>
        <w:tc>
          <w:tcPr>
            <w:tcW w:w="1159" w:type="dxa"/>
            <w:tcBorders/>
          </w:tcPr>
          <w:p>
            <w:pPr>
              <w:pStyle w:val="TableContents"/>
              <w:bidi w:val="0"/>
              <w:spacing w:before="0" w:after="0"/>
              <w:ind w:left="0" w:right="0" w:hanging="0"/>
              <w:jc w:val="left"/>
              <w:rPr/>
            </w:pPr>
            <w:r>
              <w:rPr/>
              <w:t> </w:t>
            </w:r>
          </w:p>
        </w:tc>
      </w:tr>
      <w:tr>
        <w:trPr/>
        <w:tc>
          <w:tcPr>
            <w:tcW w:w="4749" w:type="dxa"/>
            <w:tcBorders/>
          </w:tcPr>
          <w:p>
            <w:pPr>
              <w:pStyle w:val="TableContents"/>
              <w:bidi w:val="0"/>
              <w:spacing w:before="0" w:after="0"/>
              <w:ind w:left="0" w:right="0" w:hanging="0"/>
              <w:jc w:val="left"/>
              <w:rPr/>
            </w:pPr>
            <w:r>
              <w:rPr/>
              <w:t> </w:t>
            </w:r>
          </w:p>
        </w:tc>
        <w:tc>
          <w:tcPr>
            <w:tcW w:w="384" w:type="dxa"/>
            <w:tcBorders/>
          </w:tcPr>
          <w:p>
            <w:pPr>
              <w:pStyle w:val="TableContents"/>
              <w:bidi w:val="0"/>
              <w:spacing w:before="0" w:after="0"/>
              <w:ind w:left="0" w:right="0" w:hanging="0"/>
              <w:jc w:val="left"/>
              <w:rPr/>
            </w:pPr>
            <w:r>
              <w:rPr/>
              <w:t> </w:t>
            </w:r>
          </w:p>
        </w:tc>
        <w:tc>
          <w:tcPr>
            <w:tcW w:w="391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Chad Eisenberg </w:t>
            </w:r>
          </w:p>
        </w:tc>
        <w:tc>
          <w:tcPr>
            <w:tcW w:w="1159" w:type="dxa"/>
            <w:tcBorders/>
          </w:tcPr>
          <w:p>
            <w:pPr>
              <w:pStyle w:val="TableContents"/>
              <w:bidi w:val="0"/>
              <w:spacing w:before="0" w:after="0"/>
              <w:ind w:left="0" w:right="0" w:hanging="0"/>
              <w:jc w:val="left"/>
              <w:rPr/>
            </w:pPr>
            <w:r>
              <w:rPr/>
              <w:t> </w:t>
            </w:r>
          </w:p>
        </w:tc>
      </w:tr>
      <w:tr>
        <w:trPr/>
        <w:tc>
          <w:tcPr>
            <w:tcW w:w="4749" w:type="dxa"/>
            <w:tcBorders/>
          </w:tcPr>
          <w:p>
            <w:pPr>
              <w:pStyle w:val="TableContents"/>
              <w:bidi w:val="0"/>
              <w:spacing w:before="0" w:after="0"/>
              <w:ind w:left="0" w:right="0" w:hanging="0"/>
              <w:jc w:val="left"/>
              <w:rPr/>
            </w:pPr>
            <w:r>
              <w:rPr/>
              <w:t> </w:t>
            </w:r>
          </w:p>
        </w:tc>
        <w:tc>
          <w:tcPr>
            <w:tcW w:w="384" w:type="dxa"/>
            <w:tcBorders/>
          </w:tcPr>
          <w:p>
            <w:pPr>
              <w:pStyle w:val="TableContents"/>
              <w:bidi w:val="0"/>
              <w:spacing w:before="0" w:after="0"/>
              <w:ind w:left="0" w:right="0" w:hanging="0"/>
              <w:jc w:val="left"/>
              <w:rPr/>
            </w:pPr>
            <w:r>
              <w:rPr/>
              <w:t> </w:t>
            </w:r>
          </w:p>
        </w:tc>
        <w:tc>
          <w:tcPr>
            <w:tcW w:w="391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Operating Officer </w:t>
            </w:r>
          </w:p>
        </w:tc>
        <w:tc>
          <w:tcPr>
            <w:tcW w:w="1159" w:type="dxa"/>
            <w:tcBorders/>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87"/>
        <w:gridCol w:w="421"/>
        <w:gridCol w:w="4069"/>
        <w:gridCol w:w="1128"/>
      </w:tblGrid>
      <w:tr>
        <w:trPr/>
        <w:tc>
          <w:tcPr>
            <w:tcW w:w="4587" w:type="dxa"/>
            <w:tcBorders/>
          </w:tcPr>
          <w:p>
            <w:pPr>
              <w:pStyle w:val="TableContents"/>
              <w:bidi w:val="0"/>
              <w:spacing w:before="0" w:after="0"/>
              <w:ind w:left="0" w:right="0" w:hanging="0"/>
              <w:jc w:val="left"/>
              <w:rPr/>
            </w:pPr>
            <w:r>
              <w:rPr/>
              <w:t> </w:t>
            </w:r>
          </w:p>
        </w:tc>
        <w:tc>
          <w:tcPr>
            <w:tcW w:w="4490"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FIRST TRUST ENHANCED PRIVATE CREDIT FUND</w:t>
            </w:r>
            <w:r>
              <w:rPr>
                <w:rFonts w:ascii="Times New Roman;Times;serif" w:hAnsi="Times New Roman;Times;serif"/>
                <w:sz w:val="20"/>
              </w:rPr>
              <w:t> </w:t>
            </w:r>
          </w:p>
        </w:tc>
        <w:tc>
          <w:tcPr>
            <w:tcW w:w="1128" w:type="dxa"/>
            <w:tcBorders/>
          </w:tcPr>
          <w:p>
            <w:pPr>
              <w:pStyle w:val="TableContents"/>
              <w:bidi w:val="0"/>
              <w:spacing w:before="0" w:after="0"/>
              <w:ind w:left="0" w:right="0" w:hanging="0"/>
              <w:jc w:val="left"/>
              <w:rPr/>
            </w:pPr>
            <w:r>
              <w:rPr/>
              <w:t> </w:t>
            </w:r>
          </w:p>
        </w:tc>
      </w:tr>
      <w:tr>
        <w:trPr/>
        <w:tc>
          <w:tcPr>
            <w:tcW w:w="4587" w:type="dxa"/>
            <w:tcBorders/>
          </w:tcPr>
          <w:p>
            <w:pPr>
              <w:pStyle w:val="TableContents"/>
              <w:bidi w:val="0"/>
              <w:spacing w:before="0" w:after="0"/>
              <w:ind w:left="0" w:right="0" w:hanging="0"/>
              <w:jc w:val="left"/>
              <w:rPr/>
            </w:pPr>
            <w:r>
              <w:rPr/>
              <w:t> </w:t>
            </w:r>
          </w:p>
        </w:tc>
        <w:tc>
          <w:tcPr>
            <w:tcW w:w="421" w:type="dxa"/>
            <w:tcBorders/>
          </w:tcPr>
          <w:p>
            <w:pPr>
              <w:pStyle w:val="TableContents"/>
              <w:bidi w:val="0"/>
              <w:spacing w:before="0" w:after="0"/>
              <w:ind w:left="0" w:right="0" w:hanging="0"/>
              <w:jc w:val="left"/>
              <w:rPr/>
            </w:pPr>
            <w:r>
              <w:rPr/>
              <w:t> </w:t>
            </w:r>
          </w:p>
        </w:tc>
        <w:tc>
          <w:tcPr>
            <w:tcW w:w="4069" w:type="dxa"/>
            <w:tcBorders/>
          </w:tcPr>
          <w:p>
            <w:pPr>
              <w:pStyle w:val="TableContents"/>
              <w:bidi w:val="0"/>
              <w:spacing w:before="0" w:after="0"/>
              <w:ind w:left="0" w:right="0" w:hanging="0"/>
              <w:jc w:val="left"/>
              <w:rPr/>
            </w:pPr>
            <w:r>
              <w:rPr/>
              <w:t> </w:t>
            </w:r>
          </w:p>
        </w:tc>
        <w:tc>
          <w:tcPr>
            <w:tcW w:w="1128" w:type="dxa"/>
            <w:tcBorders/>
          </w:tcPr>
          <w:p>
            <w:pPr>
              <w:pStyle w:val="TableContents"/>
              <w:bidi w:val="0"/>
              <w:spacing w:before="0" w:after="0"/>
              <w:ind w:left="0" w:right="0" w:hanging="0"/>
              <w:jc w:val="left"/>
              <w:rPr/>
            </w:pPr>
            <w:r>
              <w:rPr/>
              <w:t> </w:t>
            </w:r>
          </w:p>
        </w:tc>
      </w:tr>
      <w:tr>
        <w:trPr/>
        <w:tc>
          <w:tcPr>
            <w:tcW w:w="4587" w:type="dxa"/>
            <w:tcBorders/>
          </w:tcPr>
          <w:p>
            <w:pPr>
              <w:pStyle w:val="TableContents"/>
              <w:bidi w:val="0"/>
              <w:spacing w:before="0" w:after="0"/>
              <w:ind w:left="0" w:right="0" w:hanging="0"/>
              <w:jc w:val="left"/>
              <w:rPr/>
            </w:pPr>
            <w:r>
              <w:rPr/>
              <w:t> </w:t>
            </w:r>
          </w:p>
        </w:tc>
        <w:tc>
          <w:tcPr>
            <w:tcW w:w="421" w:type="dxa"/>
            <w:tcBorders/>
          </w:tcPr>
          <w:p>
            <w:pPr>
              <w:pStyle w:val="TableContents"/>
              <w:bidi w:val="0"/>
              <w:spacing w:before="0" w:after="0"/>
              <w:ind w:left="0" w:right="0" w:hanging="0"/>
              <w:jc w:val="left"/>
              <w:rPr/>
            </w:pPr>
            <w:r>
              <w:rPr/>
              <w:t> </w:t>
            </w:r>
          </w:p>
        </w:tc>
        <w:tc>
          <w:tcPr>
            <w:tcW w:w="4069" w:type="dxa"/>
            <w:tcBorders/>
            <w:vAlign w:val="bottom"/>
          </w:tcPr>
          <w:p>
            <w:pPr>
              <w:pStyle w:val="TableContents"/>
              <w:bidi w:val="0"/>
              <w:spacing w:before="0" w:after="0"/>
              <w:ind w:left="0" w:right="0" w:hanging="0"/>
              <w:jc w:val="left"/>
              <w:rPr/>
            </w:pPr>
            <w:r>
              <w:rPr/>
              <w:t> </w:t>
            </w:r>
          </w:p>
        </w:tc>
        <w:tc>
          <w:tcPr>
            <w:tcW w:w="1128" w:type="dxa"/>
            <w:tcBorders/>
          </w:tcPr>
          <w:p>
            <w:pPr>
              <w:pStyle w:val="TableContents"/>
              <w:bidi w:val="0"/>
              <w:spacing w:before="0" w:after="0"/>
              <w:ind w:left="0" w:right="0" w:hanging="0"/>
              <w:jc w:val="left"/>
              <w:rPr/>
            </w:pPr>
            <w:r>
              <w:rPr/>
              <w:t> </w:t>
            </w:r>
          </w:p>
        </w:tc>
      </w:tr>
      <w:tr>
        <w:trPr/>
        <w:tc>
          <w:tcPr>
            <w:tcW w:w="4587" w:type="dxa"/>
            <w:tcBorders/>
          </w:tcPr>
          <w:p>
            <w:pPr>
              <w:pStyle w:val="TableContents"/>
              <w:bidi w:val="0"/>
              <w:spacing w:before="0" w:after="0"/>
              <w:ind w:left="0" w:right="0" w:hanging="0"/>
              <w:jc w:val="left"/>
              <w:rPr/>
            </w:pPr>
            <w:r>
              <w:rPr/>
              <w:t> </w:t>
            </w:r>
          </w:p>
        </w:tc>
        <w:tc>
          <w:tcPr>
            <w:tcW w:w="42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069"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Chad Eisenberg</w:t>
            </w:r>
          </w:p>
        </w:tc>
        <w:tc>
          <w:tcPr>
            <w:tcW w:w="1128" w:type="dxa"/>
            <w:tcBorders/>
          </w:tcPr>
          <w:p>
            <w:pPr>
              <w:pStyle w:val="TableContents"/>
              <w:bidi w:val="0"/>
              <w:spacing w:before="0" w:after="0"/>
              <w:ind w:left="0" w:right="0" w:hanging="0"/>
              <w:jc w:val="left"/>
              <w:rPr/>
            </w:pPr>
            <w:r>
              <w:rPr/>
              <w:t> </w:t>
            </w:r>
          </w:p>
        </w:tc>
      </w:tr>
      <w:tr>
        <w:trPr/>
        <w:tc>
          <w:tcPr>
            <w:tcW w:w="4587" w:type="dxa"/>
            <w:tcBorders/>
          </w:tcPr>
          <w:p>
            <w:pPr>
              <w:pStyle w:val="TableContents"/>
              <w:bidi w:val="0"/>
              <w:spacing w:before="0" w:after="0"/>
              <w:ind w:left="0" w:right="0" w:hanging="0"/>
              <w:jc w:val="left"/>
              <w:rPr/>
            </w:pPr>
            <w:r>
              <w:rPr/>
              <w:t> </w:t>
            </w:r>
          </w:p>
        </w:tc>
        <w:tc>
          <w:tcPr>
            <w:tcW w:w="421" w:type="dxa"/>
            <w:tcBorders/>
          </w:tcPr>
          <w:p>
            <w:pPr>
              <w:pStyle w:val="TableContents"/>
              <w:bidi w:val="0"/>
              <w:spacing w:before="0" w:after="0"/>
              <w:ind w:left="0" w:right="0" w:hanging="0"/>
              <w:jc w:val="left"/>
              <w:rPr/>
            </w:pPr>
            <w:r>
              <w:rPr/>
              <w:t> </w:t>
            </w:r>
          </w:p>
        </w:tc>
        <w:tc>
          <w:tcPr>
            <w:tcW w:w="406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Chad Eisenberg </w:t>
            </w:r>
          </w:p>
        </w:tc>
        <w:tc>
          <w:tcPr>
            <w:tcW w:w="1128" w:type="dxa"/>
            <w:tcBorders/>
          </w:tcPr>
          <w:p>
            <w:pPr>
              <w:pStyle w:val="TableContents"/>
              <w:bidi w:val="0"/>
              <w:spacing w:before="0" w:after="0"/>
              <w:ind w:left="0" w:right="0" w:hanging="0"/>
              <w:jc w:val="left"/>
              <w:rPr/>
            </w:pPr>
            <w:r>
              <w:rPr/>
              <w:t> </w:t>
            </w:r>
          </w:p>
        </w:tc>
      </w:tr>
      <w:tr>
        <w:trPr/>
        <w:tc>
          <w:tcPr>
            <w:tcW w:w="4587" w:type="dxa"/>
            <w:tcBorders/>
          </w:tcPr>
          <w:p>
            <w:pPr>
              <w:pStyle w:val="TableContents"/>
              <w:bidi w:val="0"/>
              <w:spacing w:before="0" w:after="0"/>
              <w:ind w:left="0" w:right="0" w:hanging="0"/>
              <w:jc w:val="left"/>
              <w:rPr/>
            </w:pPr>
            <w:r>
              <w:rPr/>
              <w:t> </w:t>
            </w:r>
          </w:p>
        </w:tc>
        <w:tc>
          <w:tcPr>
            <w:tcW w:w="421" w:type="dxa"/>
            <w:tcBorders/>
          </w:tcPr>
          <w:p>
            <w:pPr>
              <w:pStyle w:val="TableContents"/>
              <w:bidi w:val="0"/>
              <w:spacing w:before="0" w:after="0"/>
              <w:ind w:left="0" w:right="0" w:hanging="0"/>
              <w:jc w:val="left"/>
              <w:rPr/>
            </w:pPr>
            <w:r>
              <w:rPr/>
              <w:t> </w:t>
            </w:r>
          </w:p>
        </w:tc>
        <w:tc>
          <w:tcPr>
            <w:tcW w:w="406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Operating Officer </w:t>
            </w:r>
          </w:p>
        </w:tc>
        <w:tc>
          <w:tcPr>
            <w:tcW w:w="1128" w:type="dxa"/>
            <w:tcBorders/>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pPr>
      <w:r>
        <w:rPr/>
        <w:t>[Signature Page to Limited Waiver and Amendment No. 3 to Financing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29"/>
        <w:gridCol w:w="380"/>
        <w:gridCol w:w="3943"/>
        <w:gridCol w:w="1153"/>
      </w:tblGrid>
      <w:tr>
        <w:trPr/>
        <w:tc>
          <w:tcPr>
            <w:tcW w:w="4729" w:type="dxa"/>
            <w:tcBorders/>
          </w:tcPr>
          <w:p>
            <w:pPr>
              <w:pStyle w:val="TableContents"/>
              <w:bidi w:val="0"/>
              <w:spacing w:before="0" w:after="0"/>
              <w:ind w:left="0" w:right="0" w:hanging="0"/>
              <w:jc w:val="left"/>
              <w:rPr/>
            </w:pPr>
            <w:r>
              <w:rPr/>
              <w:t> </w:t>
            </w:r>
          </w:p>
        </w:tc>
        <w:tc>
          <w:tcPr>
            <w:tcW w:w="4323"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WALNUT CAPITAL FUND I, LP</w:t>
            </w:r>
            <w:r>
              <w:rPr>
                <w:rFonts w:ascii="Times New Roman;Times;serif" w:hAnsi="Times New Roman;Times;serif"/>
                <w:sz w:val="20"/>
              </w:rPr>
              <w:t> </w:t>
            </w:r>
          </w:p>
        </w:tc>
        <w:tc>
          <w:tcPr>
            <w:tcW w:w="1153" w:type="dxa"/>
            <w:tcBorders/>
          </w:tcPr>
          <w:p>
            <w:pPr>
              <w:pStyle w:val="TableContents"/>
              <w:bidi w:val="0"/>
              <w:spacing w:before="0" w:after="0"/>
              <w:ind w:left="0" w:right="0" w:hanging="0"/>
              <w:jc w:val="left"/>
              <w:rPr/>
            </w:pPr>
            <w:r>
              <w:rPr/>
              <w:t> </w:t>
            </w:r>
          </w:p>
        </w:tc>
      </w:tr>
      <w:tr>
        <w:trPr/>
        <w:tc>
          <w:tcPr>
            <w:tcW w:w="4729" w:type="dxa"/>
            <w:tcBorders/>
          </w:tcPr>
          <w:p>
            <w:pPr>
              <w:pStyle w:val="TableContents"/>
              <w:bidi w:val="0"/>
              <w:spacing w:before="0" w:after="283"/>
              <w:jc w:val="left"/>
              <w:rPr/>
            </w:pPr>
            <w:r>
              <w:rPr/>
              <w:t> </w:t>
            </w:r>
          </w:p>
        </w:tc>
        <w:tc>
          <w:tcPr>
            <w:tcW w:w="4323" w:type="dxa"/>
            <w:gridSpan w:val="2"/>
            <w:tcBorders/>
          </w:tcPr>
          <w:p>
            <w:pPr>
              <w:pStyle w:val="TableContents"/>
              <w:bidi w:val="0"/>
              <w:spacing w:before="0" w:after="283"/>
              <w:jc w:val="left"/>
              <w:rPr/>
            </w:pPr>
            <w:r>
              <w:rPr/>
              <w:t> </w:t>
            </w:r>
          </w:p>
        </w:tc>
        <w:tc>
          <w:tcPr>
            <w:tcW w:w="1153" w:type="dxa"/>
            <w:tcBorders/>
          </w:tcPr>
          <w:p>
            <w:pPr>
              <w:pStyle w:val="TableContents"/>
              <w:bidi w:val="0"/>
              <w:spacing w:before="0" w:after="283"/>
              <w:jc w:val="left"/>
              <w:rPr/>
            </w:pPr>
            <w:r>
              <w:rPr/>
              <w:t> </w:t>
            </w:r>
          </w:p>
        </w:tc>
      </w:tr>
      <w:tr>
        <w:trPr/>
        <w:tc>
          <w:tcPr>
            <w:tcW w:w="4729" w:type="dxa"/>
            <w:tcBorders/>
          </w:tcPr>
          <w:p>
            <w:pPr>
              <w:pStyle w:val="TableContents"/>
              <w:bidi w:val="0"/>
              <w:spacing w:before="0" w:after="283"/>
              <w:jc w:val="left"/>
              <w:rPr/>
            </w:pPr>
            <w:r>
              <w:rPr/>
              <w:t> </w:t>
            </w:r>
          </w:p>
        </w:tc>
        <w:tc>
          <w:tcPr>
            <w:tcW w:w="4323" w:type="dxa"/>
            <w:gridSpan w:val="2"/>
            <w:tcBorders/>
          </w:tcPr>
          <w:p>
            <w:pPr>
              <w:pStyle w:val="TableContents"/>
              <w:bidi w:val="0"/>
              <w:spacing w:before="0" w:after="283"/>
              <w:jc w:val="left"/>
              <w:rPr/>
            </w:pPr>
            <w:r>
              <w:rPr/>
              <w:t> </w:t>
            </w:r>
          </w:p>
        </w:tc>
        <w:tc>
          <w:tcPr>
            <w:tcW w:w="1153" w:type="dxa"/>
            <w:tcBorders/>
          </w:tcPr>
          <w:p>
            <w:pPr>
              <w:pStyle w:val="TableContents"/>
              <w:bidi w:val="0"/>
              <w:spacing w:before="0" w:after="283"/>
              <w:jc w:val="left"/>
              <w:rPr/>
            </w:pPr>
            <w:r>
              <w:rPr/>
              <w:t> </w:t>
            </w:r>
          </w:p>
        </w:tc>
      </w:tr>
      <w:tr>
        <w:trPr/>
        <w:tc>
          <w:tcPr>
            <w:tcW w:w="4729" w:type="dxa"/>
            <w:tcBorders/>
          </w:tcPr>
          <w:p>
            <w:pPr>
              <w:pStyle w:val="TableContents"/>
              <w:bidi w:val="0"/>
              <w:spacing w:before="0" w:after="0"/>
              <w:ind w:left="0" w:right="0" w:hanging="0"/>
              <w:jc w:val="left"/>
              <w:rPr/>
            </w:pPr>
            <w:r>
              <w:rPr/>
              <w:t> </w:t>
            </w:r>
          </w:p>
        </w:tc>
        <w:tc>
          <w:tcPr>
            <w:tcW w:w="38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394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Walnut Capital Partners, LLC, in its capacity as Fund’s Manager </w:t>
            </w:r>
          </w:p>
        </w:tc>
        <w:tc>
          <w:tcPr>
            <w:tcW w:w="1153" w:type="dxa"/>
            <w:tcBorders/>
          </w:tcPr>
          <w:p>
            <w:pPr>
              <w:pStyle w:val="TableContents"/>
              <w:bidi w:val="0"/>
              <w:spacing w:before="0" w:after="0"/>
              <w:ind w:left="0" w:right="0" w:hanging="0"/>
              <w:jc w:val="left"/>
              <w:rPr/>
            </w:pPr>
            <w:r>
              <w:rPr/>
              <w:t> </w:t>
            </w:r>
          </w:p>
        </w:tc>
      </w:tr>
      <w:tr>
        <w:trPr/>
        <w:tc>
          <w:tcPr>
            <w:tcW w:w="4729" w:type="dxa"/>
            <w:tcBorders/>
          </w:tcPr>
          <w:p>
            <w:pPr>
              <w:pStyle w:val="TableContents"/>
              <w:bidi w:val="0"/>
              <w:spacing w:before="0" w:after="0"/>
              <w:ind w:left="0" w:right="0" w:hanging="0"/>
              <w:jc w:val="left"/>
              <w:rPr/>
            </w:pPr>
            <w:r>
              <w:rPr/>
              <w:t> </w:t>
            </w:r>
          </w:p>
        </w:tc>
        <w:tc>
          <w:tcPr>
            <w:tcW w:w="380" w:type="dxa"/>
            <w:tcBorders/>
          </w:tcPr>
          <w:p>
            <w:pPr>
              <w:pStyle w:val="TableContents"/>
              <w:bidi w:val="0"/>
              <w:spacing w:before="0" w:after="0"/>
              <w:ind w:left="0" w:right="0" w:hanging="0"/>
              <w:jc w:val="left"/>
              <w:rPr/>
            </w:pPr>
            <w:r>
              <w:rPr/>
              <w:t> </w:t>
            </w:r>
          </w:p>
        </w:tc>
        <w:tc>
          <w:tcPr>
            <w:tcW w:w="3943" w:type="dxa"/>
            <w:tcBorders/>
            <w:vAlign w:val="bottom"/>
          </w:tcPr>
          <w:p>
            <w:pPr>
              <w:pStyle w:val="TableContents"/>
              <w:bidi w:val="0"/>
              <w:spacing w:before="0" w:after="0"/>
              <w:ind w:left="0" w:right="0" w:hanging="0"/>
              <w:jc w:val="left"/>
              <w:rPr/>
            </w:pPr>
            <w:r>
              <w:rPr/>
              <w:t> </w:t>
            </w:r>
          </w:p>
        </w:tc>
        <w:tc>
          <w:tcPr>
            <w:tcW w:w="1153" w:type="dxa"/>
            <w:tcBorders/>
          </w:tcPr>
          <w:p>
            <w:pPr>
              <w:pStyle w:val="TableContents"/>
              <w:bidi w:val="0"/>
              <w:spacing w:before="0" w:after="0"/>
              <w:ind w:left="0" w:right="0" w:hanging="0"/>
              <w:jc w:val="left"/>
              <w:rPr/>
            </w:pPr>
            <w:r>
              <w:rPr/>
              <w:t> </w:t>
            </w:r>
          </w:p>
        </w:tc>
      </w:tr>
      <w:tr>
        <w:trPr/>
        <w:tc>
          <w:tcPr>
            <w:tcW w:w="4729" w:type="dxa"/>
            <w:tcBorders/>
          </w:tcPr>
          <w:p>
            <w:pPr>
              <w:pStyle w:val="TableContents"/>
              <w:bidi w:val="0"/>
              <w:spacing w:before="0" w:after="0"/>
              <w:ind w:left="0" w:right="0" w:hanging="0"/>
              <w:jc w:val="left"/>
              <w:rPr/>
            </w:pPr>
            <w:r>
              <w:rPr/>
              <w:t> </w:t>
            </w:r>
          </w:p>
        </w:tc>
        <w:tc>
          <w:tcPr>
            <w:tcW w:w="38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943"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S. Chang</w:t>
            </w:r>
          </w:p>
        </w:tc>
        <w:tc>
          <w:tcPr>
            <w:tcW w:w="1153" w:type="dxa"/>
            <w:tcBorders/>
          </w:tcPr>
          <w:p>
            <w:pPr>
              <w:pStyle w:val="TableContents"/>
              <w:bidi w:val="0"/>
              <w:spacing w:before="0" w:after="0"/>
              <w:ind w:left="0" w:right="0" w:hanging="0"/>
              <w:jc w:val="left"/>
              <w:rPr/>
            </w:pPr>
            <w:r>
              <w:rPr/>
              <w:t> </w:t>
            </w:r>
          </w:p>
        </w:tc>
      </w:tr>
      <w:tr>
        <w:trPr/>
        <w:tc>
          <w:tcPr>
            <w:tcW w:w="4729" w:type="dxa"/>
            <w:tcBorders/>
          </w:tcPr>
          <w:p>
            <w:pPr>
              <w:pStyle w:val="TableContents"/>
              <w:bidi w:val="0"/>
              <w:spacing w:before="0" w:after="0"/>
              <w:ind w:left="0" w:right="0" w:hanging="0"/>
              <w:jc w:val="left"/>
              <w:rPr/>
            </w:pPr>
            <w:r>
              <w:rPr/>
              <w:t> </w:t>
            </w:r>
          </w:p>
        </w:tc>
        <w:tc>
          <w:tcPr>
            <w:tcW w:w="380" w:type="dxa"/>
            <w:tcBorders/>
          </w:tcPr>
          <w:p>
            <w:pPr>
              <w:pStyle w:val="TableContents"/>
              <w:bidi w:val="0"/>
              <w:spacing w:before="0" w:after="0"/>
              <w:ind w:left="0" w:right="0" w:hanging="0"/>
              <w:jc w:val="left"/>
              <w:rPr/>
            </w:pPr>
            <w:r>
              <w:rPr/>
              <w:t> </w:t>
            </w:r>
          </w:p>
        </w:tc>
        <w:tc>
          <w:tcPr>
            <w:tcW w:w="394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Michael S. Chang </w:t>
            </w:r>
          </w:p>
        </w:tc>
        <w:tc>
          <w:tcPr>
            <w:tcW w:w="1153" w:type="dxa"/>
            <w:tcBorders/>
          </w:tcPr>
          <w:p>
            <w:pPr>
              <w:pStyle w:val="TableContents"/>
              <w:bidi w:val="0"/>
              <w:spacing w:before="0" w:after="0"/>
              <w:ind w:left="0" w:right="0" w:hanging="0"/>
              <w:jc w:val="left"/>
              <w:rPr/>
            </w:pPr>
            <w:r>
              <w:rPr/>
              <w:t> </w:t>
            </w:r>
          </w:p>
        </w:tc>
      </w:tr>
      <w:tr>
        <w:trPr/>
        <w:tc>
          <w:tcPr>
            <w:tcW w:w="4729" w:type="dxa"/>
            <w:tcBorders/>
          </w:tcPr>
          <w:p>
            <w:pPr>
              <w:pStyle w:val="TableContents"/>
              <w:bidi w:val="0"/>
              <w:spacing w:before="0" w:after="0"/>
              <w:ind w:left="0" w:right="0" w:hanging="0"/>
              <w:jc w:val="left"/>
              <w:rPr/>
            </w:pPr>
            <w:r>
              <w:rPr/>
              <w:t> </w:t>
            </w:r>
          </w:p>
        </w:tc>
        <w:tc>
          <w:tcPr>
            <w:tcW w:w="380" w:type="dxa"/>
            <w:tcBorders/>
          </w:tcPr>
          <w:p>
            <w:pPr>
              <w:pStyle w:val="TableContents"/>
              <w:bidi w:val="0"/>
              <w:spacing w:before="0" w:after="0"/>
              <w:ind w:left="0" w:right="0" w:hanging="0"/>
              <w:jc w:val="left"/>
              <w:rPr/>
            </w:pPr>
            <w:r>
              <w:rPr/>
              <w:t> </w:t>
            </w:r>
          </w:p>
        </w:tc>
        <w:tc>
          <w:tcPr>
            <w:tcW w:w="394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Managing Partner </w:t>
            </w:r>
          </w:p>
        </w:tc>
        <w:tc>
          <w:tcPr>
            <w:tcW w:w="1153" w:type="dxa"/>
            <w:tcBorders/>
          </w:tcPr>
          <w:p>
            <w:pPr>
              <w:pStyle w:val="TableContents"/>
              <w:bidi w:val="0"/>
              <w:spacing w:before="0" w:after="0"/>
              <w:ind w:left="0" w:right="0" w:hanging="0"/>
              <w:jc w:val="left"/>
              <w:rPr/>
            </w:pPr>
            <w:r>
              <w:rPr/>
              <w:t> </w:t>
            </w:r>
          </w:p>
        </w:tc>
      </w:tr>
    </w:tbl>
    <w:p>
      <w:pPr>
        <w:pStyle w:val="TextBody"/>
        <w:bidi w:val="0"/>
        <w:spacing w:before="0" w:after="0"/>
        <w:ind w:left="4780" w:right="0" w:hanging="280"/>
        <w:jc w:val="left"/>
        <w:rPr>
          <w:caps w:val="false"/>
          <w:smallCaps w:val="false"/>
        </w:rPr>
      </w:pPr>
      <w:r>
        <w:rPr>
          <w:caps w:val="false"/>
          <w:smallCaps w:val="false"/>
        </w:rPr>
        <w:t> </w:t>
      </w:r>
    </w:p>
    <w:p>
      <w:pPr>
        <w:pStyle w:val="TextBody"/>
        <w:bidi w:val="0"/>
        <w:spacing w:before="0" w:after="0"/>
        <w:ind w:left="0" w:right="0" w:hanging="0"/>
        <w:jc w:val="center"/>
        <w:rPr/>
      </w:pPr>
      <w:r>
        <w:rPr/>
        <w:t>[Signature Page to Limited Waiver and Amendment No. 3 to Financing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67"/>
        <w:gridCol w:w="398"/>
        <w:gridCol w:w="3877"/>
        <w:gridCol w:w="1163"/>
      </w:tblGrid>
      <w:tr>
        <w:trPr/>
        <w:tc>
          <w:tcPr>
            <w:tcW w:w="4767" w:type="dxa"/>
            <w:tcBorders/>
          </w:tcPr>
          <w:p>
            <w:pPr>
              <w:pStyle w:val="TableContents"/>
              <w:bidi w:val="0"/>
              <w:spacing w:before="0" w:after="0"/>
              <w:ind w:left="0" w:right="0" w:hanging="0"/>
              <w:jc w:val="left"/>
              <w:rPr/>
            </w:pPr>
            <w:r>
              <w:rPr/>
              <w:t> </w:t>
            </w:r>
          </w:p>
        </w:tc>
        <w:tc>
          <w:tcPr>
            <w:tcW w:w="4275"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ASILIA CREDIT FUND, LP</w:t>
            </w:r>
            <w:r>
              <w:rPr>
                <w:rFonts w:ascii="Times New Roman;Times;serif" w:hAnsi="Times New Roman;Times;serif"/>
                <w:sz w:val="20"/>
              </w:rPr>
              <w:t> </w:t>
            </w:r>
          </w:p>
        </w:tc>
        <w:tc>
          <w:tcPr>
            <w:tcW w:w="1163" w:type="dxa"/>
            <w:tcBorders/>
          </w:tcPr>
          <w:p>
            <w:pPr>
              <w:pStyle w:val="TableContents"/>
              <w:bidi w:val="0"/>
              <w:spacing w:before="0" w:after="0"/>
              <w:ind w:left="0" w:right="0" w:hanging="0"/>
              <w:jc w:val="left"/>
              <w:rPr/>
            </w:pPr>
            <w:r>
              <w:rPr/>
              <w:t> </w:t>
            </w:r>
          </w:p>
        </w:tc>
      </w:tr>
      <w:tr>
        <w:trPr/>
        <w:tc>
          <w:tcPr>
            <w:tcW w:w="4767" w:type="dxa"/>
            <w:tcBorders/>
          </w:tcPr>
          <w:p>
            <w:pPr>
              <w:pStyle w:val="TableContents"/>
              <w:bidi w:val="0"/>
              <w:spacing w:before="0" w:after="0"/>
              <w:ind w:left="0" w:right="0" w:hanging="0"/>
              <w:jc w:val="left"/>
              <w:rPr/>
            </w:pPr>
            <w:r>
              <w:rPr/>
              <w:t> </w:t>
            </w:r>
          </w:p>
        </w:tc>
        <w:tc>
          <w:tcPr>
            <w:tcW w:w="398" w:type="dxa"/>
            <w:tcBorders/>
          </w:tcPr>
          <w:p>
            <w:pPr>
              <w:pStyle w:val="TableContents"/>
              <w:bidi w:val="0"/>
              <w:spacing w:before="0" w:after="0"/>
              <w:ind w:left="0" w:right="0" w:hanging="0"/>
              <w:jc w:val="left"/>
              <w:rPr/>
            </w:pPr>
            <w:r>
              <w:rPr/>
              <w:t> </w:t>
            </w:r>
          </w:p>
        </w:tc>
        <w:tc>
          <w:tcPr>
            <w:tcW w:w="3877" w:type="dxa"/>
            <w:tcBorders/>
          </w:tcPr>
          <w:p>
            <w:pPr>
              <w:pStyle w:val="TableContents"/>
              <w:bidi w:val="0"/>
              <w:spacing w:before="0" w:after="0"/>
              <w:ind w:left="0" w:right="0" w:hanging="0"/>
              <w:jc w:val="left"/>
              <w:rPr/>
            </w:pPr>
            <w:r>
              <w:rPr/>
              <w:t> </w:t>
            </w:r>
          </w:p>
        </w:tc>
        <w:tc>
          <w:tcPr>
            <w:tcW w:w="1163" w:type="dxa"/>
            <w:tcBorders/>
          </w:tcPr>
          <w:p>
            <w:pPr>
              <w:pStyle w:val="TableContents"/>
              <w:bidi w:val="0"/>
              <w:spacing w:before="0" w:after="0"/>
              <w:ind w:left="0" w:right="0" w:hanging="0"/>
              <w:jc w:val="left"/>
              <w:rPr/>
            </w:pPr>
            <w:r>
              <w:rPr/>
              <w:t> </w:t>
            </w:r>
          </w:p>
        </w:tc>
      </w:tr>
      <w:tr>
        <w:trPr/>
        <w:tc>
          <w:tcPr>
            <w:tcW w:w="4767" w:type="dxa"/>
            <w:tcBorders/>
          </w:tcPr>
          <w:p>
            <w:pPr>
              <w:pStyle w:val="TableContents"/>
              <w:bidi w:val="0"/>
              <w:spacing w:before="0" w:after="283"/>
              <w:jc w:val="left"/>
              <w:rPr/>
            </w:pPr>
            <w:r>
              <w:rPr/>
              <w:t> </w:t>
            </w:r>
          </w:p>
        </w:tc>
        <w:tc>
          <w:tcPr>
            <w:tcW w:w="398" w:type="dxa"/>
            <w:tcBorders/>
          </w:tcPr>
          <w:p>
            <w:pPr>
              <w:pStyle w:val="TableContents"/>
              <w:bidi w:val="0"/>
              <w:spacing w:before="0" w:after="283"/>
              <w:jc w:val="left"/>
              <w:rPr/>
            </w:pPr>
            <w:r>
              <w:rPr/>
              <w:t> </w:t>
            </w:r>
          </w:p>
        </w:tc>
        <w:tc>
          <w:tcPr>
            <w:tcW w:w="3877" w:type="dxa"/>
            <w:tcBorders/>
          </w:tcPr>
          <w:p>
            <w:pPr>
              <w:pStyle w:val="TableContents"/>
              <w:bidi w:val="0"/>
              <w:spacing w:before="0" w:after="283"/>
              <w:jc w:val="left"/>
              <w:rPr/>
            </w:pPr>
            <w:r>
              <w:rPr/>
              <w:t> </w:t>
            </w:r>
          </w:p>
        </w:tc>
        <w:tc>
          <w:tcPr>
            <w:tcW w:w="1163" w:type="dxa"/>
            <w:tcBorders/>
          </w:tcPr>
          <w:p>
            <w:pPr>
              <w:pStyle w:val="TableContents"/>
              <w:bidi w:val="0"/>
              <w:spacing w:before="0" w:after="283"/>
              <w:jc w:val="left"/>
              <w:rPr/>
            </w:pPr>
            <w:r>
              <w:rPr/>
              <w:t> </w:t>
            </w:r>
          </w:p>
        </w:tc>
      </w:tr>
      <w:tr>
        <w:trPr/>
        <w:tc>
          <w:tcPr>
            <w:tcW w:w="4767" w:type="dxa"/>
            <w:tcBorders/>
          </w:tcPr>
          <w:p>
            <w:pPr>
              <w:pStyle w:val="TableContents"/>
              <w:bidi w:val="0"/>
              <w:spacing w:before="0" w:after="283"/>
              <w:jc w:val="left"/>
              <w:rPr/>
            </w:pPr>
            <w:r>
              <w:rPr/>
              <w:t> </w:t>
            </w:r>
          </w:p>
        </w:tc>
        <w:tc>
          <w:tcPr>
            <w:tcW w:w="398" w:type="dxa"/>
            <w:tcBorders/>
          </w:tcPr>
          <w:p>
            <w:pPr>
              <w:pStyle w:val="TableContents"/>
              <w:bidi w:val="0"/>
              <w:spacing w:before="0" w:after="283"/>
              <w:jc w:val="left"/>
              <w:rPr/>
            </w:pPr>
            <w:r>
              <w:rPr/>
              <w:t>By:</w:t>
            </w:r>
          </w:p>
        </w:tc>
        <w:tc>
          <w:tcPr>
            <w:tcW w:w="3877" w:type="dxa"/>
            <w:tcBorders/>
          </w:tcPr>
          <w:p>
            <w:pPr>
              <w:pStyle w:val="TableContents"/>
              <w:bidi w:val="0"/>
              <w:spacing w:before="0" w:after="283"/>
              <w:jc w:val="left"/>
              <w:rPr/>
            </w:pPr>
            <w:r>
              <w:rPr/>
              <w:t>Ailisa Credit Investments, LLC, its investment manager</w:t>
            </w:r>
          </w:p>
        </w:tc>
        <w:tc>
          <w:tcPr>
            <w:tcW w:w="1163" w:type="dxa"/>
            <w:tcBorders/>
          </w:tcPr>
          <w:p>
            <w:pPr>
              <w:pStyle w:val="TableContents"/>
              <w:bidi w:val="0"/>
              <w:spacing w:before="0" w:after="283"/>
              <w:jc w:val="left"/>
              <w:rPr/>
            </w:pPr>
            <w:r>
              <w:rPr/>
              <w:t> </w:t>
            </w:r>
          </w:p>
        </w:tc>
      </w:tr>
      <w:tr>
        <w:trPr/>
        <w:tc>
          <w:tcPr>
            <w:tcW w:w="4767" w:type="dxa"/>
            <w:tcBorders/>
          </w:tcPr>
          <w:p>
            <w:pPr>
              <w:pStyle w:val="TableContents"/>
              <w:bidi w:val="0"/>
              <w:spacing w:before="0" w:after="0"/>
              <w:ind w:left="0" w:right="0" w:hanging="0"/>
              <w:jc w:val="left"/>
              <w:rPr/>
            </w:pPr>
            <w:r>
              <w:rPr/>
              <w:t> </w:t>
            </w:r>
          </w:p>
        </w:tc>
        <w:tc>
          <w:tcPr>
            <w:tcW w:w="398" w:type="dxa"/>
            <w:tcBorders/>
          </w:tcPr>
          <w:p>
            <w:pPr>
              <w:pStyle w:val="TableContents"/>
              <w:bidi w:val="0"/>
              <w:spacing w:before="0" w:after="0"/>
              <w:ind w:left="0" w:right="0" w:hanging="0"/>
              <w:jc w:val="left"/>
              <w:rPr/>
            </w:pPr>
            <w:r>
              <w:rPr/>
              <w:t> </w:t>
            </w:r>
          </w:p>
        </w:tc>
        <w:tc>
          <w:tcPr>
            <w:tcW w:w="3877" w:type="dxa"/>
            <w:tcBorders/>
            <w:vAlign w:val="bottom"/>
          </w:tcPr>
          <w:p>
            <w:pPr>
              <w:pStyle w:val="TableContents"/>
              <w:bidi w:val="0"/>
              <w:spacing w:before="0" w:after="0"/>
              <w:ind w:left="0" w:right="0" w:hanging="0"/>
              <w:jc w:val="left"/>
              <w:rPr/>
            </w:pPr>
            <w:r>
              <w:rPr/>
              <w:t> </w:t>
            </w:r>
          </w:p>
        </w:tc>
        <w:tc>
          <w:tcPr>
            <w:tcW w:w="1163" w:type="dxa"/>
            <w:tcBorders/>
          </w:tcPr>
          <w:p>
            <w:pPr>
              <w:pStyle w:val="TableContents"/>
              <w:bidi w:val="0"/>
              <w:spacing w:before="0" w:after="0"/>
              <w:ind w:left="0" w:right="0" w:hanging="0"/>
              <w:jc w:val="left"/>
              <w:rPr/>
            </w:pPr>
            <w:r>
              <w:rPr/>
              <w:t> </w:t>
            </w:r>
          </w:p>
        </w:tc>
      </w:tr>
      <w:tr>
        <w:trPr/>
        <w:tc>
          <w:tcPr>
            <w:tcW w:w="4767" w:type="dxa"/>
            <w:tcBorders/>
          </w:tcPr>
          <w:p>
            <w:pPr>
              <w:pStyle w:val="TableContents"/>
              <w:bidi w:val="0"/>
              <w:spacing w:before="0" w:after="0"/>
              <w:ind w:left="0" w:right="0" w:hanging="0"/>
              <w:jc w:val="left"/>
              <w:rPr/>
            </w:pPr>
            <w:r>
              <w:rPr/>
              <w:t> </w:t>
            </w:r>
          </w:p>
        </w:tc>
        <w:tc>
          <w:tcPr>
            <w:tcW w:w="398"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877"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 Austin Read</w:t>
            </w:r>
          </w:p>
        </w:tc>
        <w:tc>
          <w:tcPr>
            <w:tcW w:w="1163" w:type="dxa"/>
            <w:tcBorders/>
          </w:tcPr>
          <w:p>
            <w:pPr>
              <w:pStyle w:val="TableContents"/>
              <w:bidi w:val="0"/>
              <w:spacing w:before="0" w:after="0"/>
              <w:ind w:left="0" w:right="0" w:hanging="0"/>
              <w:jc w:val="left"/>
              <w:rPr/>
            </w:pPr>
            <w:r>
              <w:rPr/>
              <w:t> </w:t>
            </w:r>
          </w:p>
        </w:tc>
      </w:tr>
      <w:tr>
        <w:trPr/>
        <w:tc>
          <w:tcPr>
            <w:tcW w:w="4767" w:type="dxa"/>
            <w:tcBorders/>
          </w:tcPr>
          <w:p>
            <w:pPr>
              <w:pStyle w:val="TableContents"/>
              <w:bidi w:val="0"/>
              <w:spacing w:before="0" w:after="0"/>
              <w:ind w:left="0" w:right="0" w:hanging="0"/>
              <w:jc w:val="left"/>
              <w:rPr/>
            </w:pPr>
            <w:r>
              <w:rPr/>
              <w:t> </w:t>
            </w:r>
          </w:p>
        </w:tc>
        <w:tc>
          <w:tcPr>
            <w:tcW w:w="398" w:type="dxa"/>
            <w:tcBorders/>
          </w:tcPr>
          <w:p>
            <w:pPr>
              <w:pStyle w:val="TableContents"/>
              <w:bidi w:val="0"/>
              <w:spacing w:before="0" w:after="0"/>
              <w:ind w:left="0" w:right="0" w:hanging="0"/>
              <w:jc w:val="left"/>
              <w:rPr/>
            </w:pPr>
            <w:r>
              <w:rPr/>
              <w:t> </w:t>
            </w:r>
          </w:p>
        </w:tc>
        <w:tc>
          <w:tcPr>
            <w:tcW w:w="387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K. Austin Read </w:t>
            </w:r>
          </w:p>
        </w:tc>
        <w:tc>
          <w:tcPr>
            <w:tcW w:w="1163" w:type="dxa"/>
            <w:tcBorders/>
          </w:tcPr>
          <w:p>
            <w:pPr>
              <w:pStyle w:val="TableContents"/>
              <w:bidi w:val="0"/>
              <w:spacing w:before="0" w:after="0"/>
              <w:ind w:left="0" w:right="0" w:hanging="0"/>
              <w:jc w:val="left"/>
              <w:rPr/>
            </w:pPr>
            <w:r>
              <w:rPr/>
              <w:t> </w:t>
            </w:r>
          </w:p>
        </w:tc>
      </w:tr>
      <w:tr>
        <w:trPr/>
        <w:tc>
          <w:tcPr>
            <w:tcW w:w="4767" w:type="dxa"/>
            <w:tcBorders/>
          </w:tcPr>
          <w:p>
            <w:pPr>
              <w:pStyle w:val="TableContents"/>
              <w:bidi w:val="0"/>
              <w:spacing w:before="0" w:after="0"/>
              <w:ind w:left="0" w:right="0" w:hanging="0"/>
              <w:jc w:val="left"/>
              <w:rPr/>
            </w:pPr>
            <w:r>
              <w:rPr/>
              <w:t> </w:t>
            </w:r>
          </w:p>
        </w:tc>
        <w:tc>
          <w:tcPr>
            <w:tcW w:w="398" w:type="dxa"/>
            <w:tcBorders/>
          </w:tcPr>
          <w:p>
            <w:pPr>
              <w:pStyle w:val="TableContents"/>
              <w:bidi w:val="0"/>
              <w:spacing w:before="0" w:after="0"/>
              <w:ind w:left="0" w:right="0" w:hanging="0"/>
              <w:jc w:val="left"/>
              <w:rPr/>
            </w:pPr>
            <w:r>
              <w:rPr/>
              <w:t> </w:t>
            </w:r>
          </w:p>
        </w:tc>
        <w:tc>
          <w:tcPr>
            <w:tcW w:w="387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 </w:t>
            </w:r>
          </w:p>
        </w:tc>
        <w:tc>
          <w:tcPr>
            <w:tcW w:w="1163"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[Signature Page to Limited Waiver and Amendment No. 3 to Financing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36"/>
        <w:gridCol w:w="417"/>
        <w:gridCol w:w="4135"/>
        <w:gridCol w:w="1117"/>
      </w:tblGrid>
      <w:tr>
        <w:trPr/>
        <w:tc>
          <w:tcPr>
            <w:tcW w:w="4536" w:type="dxa"/>
            <w:tcBorders/>
          </w:tcPr>
          <w:p>
            <w:pPr>
              <w:pStyle w:val="TableContents"/>
              <w:bidi w:val="0"/>
              <w:spacing w:before="0" w:after="0"/>
              <w:ind w:left="0" w:right="0" w:hanging="0"/>
              <w:jc w:val="left"/>
              <w:rPr/>
            </w:pPr>
            <w:r>
              <w:rPr/>
              <w:t> </w:t>
            </w:r>
          </w:p>
        </w:tc>
        <w:tc>
          <w:tcPr>
            <w:tcW w:w="4552"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NATIONWIDE MUTUAL INSURANCE COMPANY</w:t>
            </w:r>
            <w:r>
              <w:rPr>
                <w:rFonts w:ascii="Times New Roman;Times;serif" w:hAnsi="Times New Roman;Times;serif"/>
                <w:sz w:val="20"/>
              </w:rPr>
              <w:t> </w:t>
            </w:r>
          </w:p>
        </w:tc>
        <w:tc>
          <w:tcPr>
            <w:tcW w:w="1117" w:type="dxa"/>
            <w:tcBorders/>
          </w:tcPr>
          <w:p>
            <w:pPr>
              <w:pStyle w:val="TableContents"/>
              <w:bidi w:val="0"/>
              <w:spacing w:before="0" w:after="0"/>
              <w:ind w:left="0" w:right="0" w:hanging="0"/>
              <w:jc w:val="left"/>
              <w:rPr/>
            </w:pPr>
            <w:r>
              <w:rPr/>
              <w:t> </w:t>
            </w:r>
          </w:p>
        </w:tc>
      </w:tr>
      <w:tr>
        <w:trPr/>
        <w:tc>
          <w:tcPr>
            <w:tcW w:w="4536" w:type="dxa"/>
            <w:tcBorders/>
          </w:tcPr>
          <w:p>
            <w:pPr>
              <w:pStyle w:val="TableContents"/>
              <w:bidi w:val="0"/>
              <w:spacing w:before="0" w:after="0"/>
              <w:ind w:left="0" w:right="0" w:hanging="0"/>
              <w:jc w:val="left"/>
              <w:rPr/>
            </w:pPr>
            <w:r>
              <w:rPr/>
              <w:t> </w:t>
            </w:r>
          </w:p>
        </w:tc>
        <w:tc>
          <w:tcPr>
            <w:tcW w:w="417" w:type="dxa"/>
            <w:tcBorders/>
          </w:tcPr>
          <w:p>
            <w:pPr>
              <w:pStyle w:val="TableContents"/>
              <w:bidi w:val="0"/>
              <w:spacing w:before="0" w:after="0"/>
              <w:ind w:left="0" w:right="0" w:hanging="0"/>
              <w:jc w:val="left"/>
              <w:rPr/>
            </w:pPr>
            <w:r>
              <w:rPr/>
              <w:t> </w:t>
            </w:r>
          </w:p>
        </w:tc>
        <w:tc>
          <w:tcPr>
            <w:tcW w:w="4135" w:type="dxa"/>
            <w:tcBorders/>
          </w:tcPr>
          <w:p>
            <w:pPr>
              <w:pStyle w:val="TableContents"/>
              <w:bidi w:val="0"/>
              <w:spacing w:before="0" w:after="0"/>
              <w:ind w:left="0" w:right="0" w:hanging="0"/>
              <w:jc w:val="left"/>
              <w:rPr/>
            </w:pPr>
            <w:r>
              <w:rPr/>
              <w:t> </w:t>
            </w:r>
          </w:p>
        </w:tc>
        <w:tc>
          <w:tcPr>
            <w:tcW w:w="1117" w:type="dxa"/>
            <w:tcBorders/>
          </w:tcPr>
          <w:p>
            <w:pPr>
              <w:pStyle w:val="TableContents"/>
              <w:bidi w:val="0"/>
              <w:spacing w:before="0" w:after="0"/>
              <w:ind w:left="0" w:right="0" w:hanging="0"/>
              <w:jc w:val="left"/>
              <w:rPr/>
            </w:pPr>
            <w:r>
              <w:rPr/>
              <w:t> </w:t>
            </w:r>
          </w:p>
        </w:tc>
      </w:tr>
      <w:tr>
        <w:trPr/>
        <w:tc>
          <w:tcPr>
            <w:tcW w:w="4536" w:type="dxa"/>
            <w:tcBorders/>
          </w:tcPr>
          <w:p>
            <w:pPr>
              <w:pStyle w:val="TableContents"/>
              <w:bidi w:val="0"/>
              <w:spacing w:before="0" w:after="0"/>
              <w:ind w:left="0" w:right="0" w:hanging="0"/>
              <w:jc w:val="left"/>
              <w:rPr/>
            </w:pPr>
            <w:r>
              <w:rPr/>
              <w:t> </w:t>
            </w:r>
          </w:p>
        </w:tc>
        <w:tc>
          <w:tcPr>
            <w:tcW w:w="417" w:type="dxa"/>
            <w:tcBorders/>
          </w:tcPr>
          <w:p>
            <w:pPr>
              <w:pStyle w:val="TableContents"/>
              <w:bidi w:val="0"/>
              <w:spacing w:before="0" w:after="0"/>
              <w:ind w:left="0" w:right="0" w:hanging="0"/>
              <w:jc w:val="left"/>
              <w:rPr/>
            </w:pPr>
            <w:r>
              <w:rPr/>
              <w:t> </w:t>
            </w:r>
          </w:p>
        </w:tc>
        <w:tc>
          <w:tcPr>
            <w:tcW w:w="4135" w:type="dxa"/>
            <w:tcBorders/>
            <w:vAlign w:val="bottom"/>
          </w:tcPr>
          <w:p>
            <w:pPr>
              <w:pStyle w:val="TableContents"/>
              <w:bidi w:val="0"/>
              <w:spacing w:before="0" w:after="0"/>
              <w:ind w:left="0" w:right="0" w:hanging="0"/>
              <w:jc w:val="left"/>
              <w:rPr/>
            </w:pPr>
            <w:r>
              <w:rPr/>
              <w:t> </w:t>
            </w:r>
          </w:p>
        </w:tc>
        <w:tc>
          <w:tcPr>
            <w:tcW w:w="1117" w:type="dxa"/>
            <w:tcBorders/>
          </w:tcPr>
          <w:p>
            <w:pPr>
              <w:pStyle w:val="TableContents"/>
              <w:bidi w:val="0"/>
              <w:spacing w:before="0" w:after="0"/>
              <w:ind w:left="0" w:right="0" w:hanging="0"/>
              <w:jc w:val="left"/>
              <w:rPr/>
            </w:pPr>
            <w:r>
              <w:rPr/>
              <w:t> </w:t>
            </w:r>
          </w:p>
        </w:tc>
      </w:tr>
      <w:tr>
        <w:trPr/>
        <w:tc>
          <w:tcPr>
            <w:tcW w:w="4536" w:type="dxa"/>
            <w:tcBorders/>
          </w:tcPr>
          <w:p>
            <w:pPr>
              <w:pStyle w:val="TableContents"/>
              <w:bidi w:val="0"/>
              <w:spacing w:before="0" w:after="0"/>
              <w:ind w:left="0" w:right="0" w:hanging="0"/>
              <w:jc w:val="left"/>
              <w:rPr/>
            </w:pPr>
            <w:r>
              <w:rPr/>
              <w:t> </w:t>
            </w:r>
          </w:p>
        </w:tc>
        <w:tc>
          <w:tcPr>
            <w:tcW w:w="41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13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Shanna Ottenbreit</w:t>
            </w:r>
          </w:p>
        </w:tc>
        <w:tc>
          <w:tcPr>
            <w:tcW w:w="1117" w:type="dxa"/>
            <w:tcBorders/>
          </w:tcPr>
          <w:p>
            <w:pPr>
              <w:pStyle w:val="TableContents"/>
              <w:bidi w:val="0"/>
              <w:spacing w:before="0" w:after="0"/>
              <w:ind w:left="0" w:right="0" w:hanging="0"/>
              <w:jc w:val="left"/>
              <w:rPr/>
            </w:pPr>
            <w:r>
              <w:rPr/>
              <w:t> </w:t>
            </w:r>
          </w:p>
        </w:tc>
      </w:tr>
      <w:tr>
        <w:trPr/>
        <w:tc>
          <w:tcPr>
            <w:tcW w:w="4536" w:type="dxa"/>
            <w:tcBorders/>
          </w:tcPr>
          <w:p>
            <w:pPr>
              <w:pStyle w:val="TableContents"/>
              <w:bidi w:val="0"/>
              <w:spacing w:before="0" w:after="0"/>
              <w:ind w:left="0" w:right="0" w:hanging="0"/>
              <w:jc w:val="left"/>
              <w:rPr/>
            </w:pPr>
            <w:r>
              <w:rPr/>
              <w:t> </w:t>
            </w:r>
          </w:p>
        </w:tc>
        <w:tc>
          <w:tcPr>
            <w:tcW w:w="417" w:type="dxa"/>
            <w:tcBorders/>
          </w:tcPr>
          <w:p>
            <w:pPr>
              <w:pStyle w:val="TableContents"/>
              <w:bidi w:val="0"/>
              <w:spacing w:before="0" w:after="0"/>
              <w:ind w:left="0" w:right="0" w:hanging="0"/>
              <w:jc w:val="left"/>
              <w:rPr/>
            </w:pPr>
            <w:r>
              <w:rPr/>
              <w:t> </w:t>
            </w:r>
          </w:p>
        </w:tc>
        <w:tc>
          <w:tcPr>
            <w:tcW w:w="413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Shanna Ottenbreit </w:t>
            </w:r>
          </w:p>
        </w:tc>
        <w:tc>
          <w:tcPr>
            <w:tcW w:w="1117" w:type="dxa"/>
            <w:tcBorders/>
          </w:tcPr>
          <w:p>
            <w:pPr>
              <w:pStyle w:val="TableContents"/>
              <w:bidi w:val="0"/>
              <w:spacing w:before="0" w:after="0"/>
              <w:ind w:left="0" w:right="0" w:hanging="0"/>
              <w:jc w:val="left"/>
              <w:rPr/>
            </w:pPr>
            <w:r>
              <w:rPr/>
              <w:t> </w:t>
            </w:r>
          </w:p>
        </w:tc>
      </w:tr>
      <w:tr>
        <w:trPr/>
        <w:tc>
          <w:tcPr>
            <w:tcW w:w="4536" w:type="dxa"/>
            <w:tcBorders/>
          </w:tcPr>
          <w:p>
            <w:pPr>
              <w:pStyle w:val="TableContents"/>
              <w:bidi w:val="0"/>
              <w:spacing w:before="0" w:after="0"/>
              <w:ind w:left="0" w:right="0" w:hanging="0"/>
              <w:jc w:val="left"/>
              <w:rPr/>
            </w:pPr>
            <w:r>
              <w:rPr/>
              <w:t> </w:t>
            </w:r>
          </w:p>
        </w:tc>
        <w:tc>
          <w:tcPr>
            <w:tcW w:w="417" w:type="dxa"/>
            <w:tcBorders/>
          </w:tcPr>
          <w:p>
            <w:pPr>
              <w:pStyle w:val="TableContents"/>
              <w:bidi w:val="0"/>
              <w:spacing w:before="0" w:after="0"/>
              <w:ind w:left="0" w:right="0" w:hanging="0"/>
              <w:jc w:val="left"/>
              <w:rPr/>
            </w:pPr>
            <w:r>
              <w:rPr/>
              <w:t> </w:t>
            </w:r>
          </w:p>
        </w:tc>
        <w:tc>
          <w:tcPr>
            <w:tcW w:w="413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 </w:t>
            </w:r>
          </w:p>
        </w:tc>
        <w:tc>
          <w:tcPr>
            <w:tcW w:w="1117" w:type="dxa"/>
            <w:tcBorders/>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pPr>
      <w:r>
        <w:rPr/>
        <w:t>[Signature Page to Limited Waiver and Amendment No. 3 to Financing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780" w:right="0" w:hanging="460"/>
        <w:jc w:val="right"/>
        <w:rPr>
          <w:rFonts w:ascii="Times New Roman" w:hAnsi="Times New Roman"/>
          <w:b/>
          <w:caps w:val="false"/>
          <w:smallCaps w:val="false"/>
          <w:sz w:val="20"/>
        </w:rPr>
      </w:pPr>
      <w:r>
        <w:rPr>
          <w:rFonts w:ascii="Times New Roman" w:hAnsi="Times New Roman"/>
          <w:b/>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0" w:right="0" w:hanging="460"/>
        <w:jc w:val="center"/>
        <w:rPr>
          <w:rFonts w:ascii="Times New Roman" w:hAnsi="Times New Roman"/>
          <w:caps w:val="false"/>
          <w:smallCaps w:val="false"/>
          <w:sz w:val="20"/>
          <w:u w:val="single"/>
        </w:rPr>
      </w:pPr>
      <w:r>
        <w:rPr>
          <w:rFonts w:ascii="Times New Roman" w:hAnsi="Times New Roman"/>
          <w:caps w:val="false"/>
          <w:smallCaps w:val="false"/>
          <w:sz w:val="20"/>
          <w:u w:val="single"/>
        </w:rPr>
        <w:t>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0" w:right="0" w:hanging="46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640" w:right="0" w:hanging="46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i/>
          <w:caps w:val="false"/>
          <w:smallCaps w:val="false"/>
          <w:sz w:val="20"/>
        </w:rPr>
      </w:pPr>
      <w:r>
        <w:rPr>
          <w:rFonts w:ascii="Times New Roman" w:hAnsi="Times New Roman"/>
          <w:b/>
          <w:i/>
          <w:caps w:val="false"/>
          <w:smallCaps w:val="false"/>
          <w:sz w:val="20"/>
        </w:rPr>
        <w:t xml:space="preserve">Exhibit A to Amendment No. 3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i/>
          <w:caps w:val="false"/>
          <w:smallCaps w:val="false"/>
          <w:sz w:val="20"/>
        </w:rPr>
        <w:t xml:space="preserve">Certain information in this exhibit has been omitted because they are both (i) not material and (ii) is the type that the company treats as private or confidential, and has been marked with </w:t>
      </w:r>
      <w:r>
        <w:rPr>
          <w:rFonts w:ascii="Times New Roman" w:hAnsi="Times New Roman"/>
          <w:caps w:val="false"/>
          <w:smallCaps w:val="false"/>
          <w:sz w:val="20"/>
        </w:rPr>
        <w:t>“</w:t>
      </w:r>
      <w:r>
        <w:rPr>
          <w:rFonts w:ascii="Times New Roman" w:hAnsi="Times New Roman"/>
          <w:b/>
          <w:i/>
          <w:caps w:val="false"/>
          <w:smallCaps w:val="false"/>
          <w:sz w:val="20"/>
        </w:rPr>
        <w:t>[***]</w:t>
      </w:r>
      <w:r>
        <w:rPr>
          <w:rFonts w:ascii="Times New Roman" w:hAnsi="Times New Roman"/>
          <w:caps w:val="false"/>
          <w:smallCaps w:val="false"/>
          <w:sz w:val="20"/>
        </w:rPr>
        <w:t xml:space="preserve">” </w:t>
      </w:r>
      <w:r>
        <w:rPr>
          <w:rFonts w:ascii="Times New Roman" w:hAnsi="Times New Roman"/>
          <w:b/>
          <w:i/>
          <w:caps w:val="false"/>
          <w:smallCaps w:val="false"/>
          <w:sz w:val="20"/>
        </w:rPr>
        <w:t>to indicate where omissions have been made.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Dated as of June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ACCURAY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the Administrative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EACH SUBSIDIARY OF THE PARENT LISTED AS A GUARANTOR ON THE SIGNATURE PAGES HERETO,</w:t>
      </w:r>
      <w:r>
        <w:rPr>
          <w:rFonts w:ascii="Times New Roman" w:hAnsi="Times New Roman"/>
          <w:caps w:val="false"/>
          <w:smallCaps w:val="false"/>
          <w:sz w:val="20"/>
        </w:rPr>
        <w:br/>
      </w:r>
      <w:r>
        <w:rPr>
          <w:rFonts w:ascii="Times New Roman" w:hAnsi="Times New Roman"/>
          <w:b/>
          <w:caps w:val="false"/>
          <w:smallCaps w:val="false"/>
          <w:sz w:val="20"/>
        </w:rPr>
        <w:t>as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 LENDERS FROM TIME TO TIME PARTY HERETO,</w:t>
      </w:r>
      <w:r>
        <w:rPr>
          <w:rFonts w:ascii="Times New Roman" w:hAnsi="Times New Roman"/>
          <w:caps w:val="false"/>
          <w:smallCaps w:val="false"/>
          <w:sz w:val="20"/>
        </w:rPr>
        <w:t xml:space="preserve"> </w:t>
        <w:br/>
      </w:r>
      <w:r>
        <w:rPr>
          <w:rFonts w:ascii="Times New Roman" w:hAnsi="Times New Roman"/>
          <w:b/>
          <w:caps w:val="false"/>
          <w:smallCaps w:val="false"/>
          <w:sz w:val="20"/>
        </w:rPr>
        <w:t>as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TCW ASSET MANAGEMENT COMPANY LLC,</w:t>
      </w:r>
      <w:r>
        <w:rPr>
          <w:rFonts w:ascii="Times New Roman" w:hAnsi="Times New Roman"/>
          <w:caps w:val="false"/>
          <w:smallCaps w:val="false"/>
          <w:sz w:val="20"/>
        </w:rPr>
        <w:br/>
      </w:r>
      <w:r>
        <w:rPr>
          <w:rFonts w:ascii="Times New Roman" w:hAnsi="Times New Roman"/>
          <w:b/>
          <w:caps w:val="false"/>
          <w:smallCaps w:val="false"/>
          <w:sz w:val="20"/>
        </w:rPr>
        <w:t>as Collateral Agent and as Administrative Agent,</w:t>
      </w:r>
      <w:r>
        <w:rPr>
          <w:rFonts w:ascii="Times New Roman" w:hAnsi="Times New Roman"/>
          <w:caps w:val="false"/>
          <w:smallCaps w:val="false"/>
          <w:sz w:val="20"/>
        </w:rPr>
        <w:br/>
        <w:br/>
      </w:r>
      <w:r>
        <w:rPr>
          <w:rFonts w:ascii="Times New Roman" w:hAnsi="Times New Roman"/>
          <w:b/>
          <w:caps w:val="false"/>
          <w:smallCaps w:val="false"/>
          <w:sz w:val="20"/>
        </w:rPr>
        <w:t>and</w:t>
      </w:r>
      <w:r>
        <w:rPr>
          <w:rFonts w:ascii="Times New Roman" w:hAnsi="Times New Roman"/>
          <w:caps w:val="false"/>
          <w:smallCaps w:val="false"/>
          <w:sz w:val="20"/>
        </w:rPr>
        <w:br/>
        <w:br/>
      </w:r>
      <w:r>
        <w:rPr>
          <w:rFonts w:ascii="Times New Roman" w:hAnsi="Times New Roman"/>
          <w:b/>
          <w:caps w:val="false"/>
          <w:smallCaps w:val="false"/>
          <w:sz w:val="20"/>
        </w:rPr>
        <w:t xml:space="preserve">Wingspire Capital LLC, </w:t>
      </w:r>
      <w:r>
        <w:rPr>
          <w:rFonts w:ascii="Times New Roman" w:hAnsi="Times New Roman"/>
          <w:caps w:val="false"/>
          <w:smallCaps w:val="false"/>
          <w:sz w:val="20"/>
        </w:rPr>
        <w:br/>
      </w:r>
      <w:r>
        <w:rPr>
          <w:rFonts w:ascii="Times New Roman" w:hAnsi="Times New Roman"/>
          <w:b/>
          <w:caps w:val="false"/>
          <w:smallCaps w:val="false"/>
          <w:sz w:val="20"/>
        </w:rPr>
        <w:t>as Servicing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INFORMATION IS SUPPLIED SOLELY FOR U.S. FEDERAL INCOME TAX PURPOSES. THE TERM LOAN A AND TERM LOAN B HEREUNDER WERE ISSUED WITH ORIGINAL ISSUE DISCOUNT (“OID”) WITHIN THE MEANING OF SECTION 1273 OF CODE, AND THIS LEGEND IS REQUIRED BY SECTION 1275(C) OF THE CODE. LENDERS MAY OBTAIN INFORMATION REGARDING THE BORROWER’S DETERMINATIONS OF ITEMS UNDER SECTIONS 1271 THROUGH 1275 OF THE INTERNAL REVENUE CODE OF 1986, AS AMENDED, INCLUDING THE AMOUNT OF ORIGINAL ISSUE DISCOUNT, THE ISSUE PRICE, THE ISSUE DATE AND THE YIELD TO MATURITY, BY CONTACTING THE ADMINISTRATIVE BORROWER AT ITS ADDRESS FOR NOTICES AS SET FORTH IN SECTION 12.01.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2"/>
        <w:gridCol w:w="8772"/>
        <w:gridCol w:w="351"/>
      </w:tblGrid>
      <w:tr>
        <w:trPr/>
        <w:tc>
          <w:tcPr>
            <w:tcW w:w="10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I</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DEFINITIONS; CERTAIN TERMS</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Definitions</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1.02</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Terms Generally</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1.03</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Certain Matters of Construction</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1.04</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 and Other Terms</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68</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1.05</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References</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68</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1.06</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 Forma</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69</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1.07</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Rounding</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69</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1.08</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References to Laws</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69</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1.09</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Times of Day</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70</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1.10</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of Obligations</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70</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1.11</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LLC Divisions</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70</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1.12</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70</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1.13</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Rates</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70</w:t>
            </w:r>
          </w:p>
        </w:tc>
      </w:tr>
      <w:tr>
        <w:trPr/>
        <w:tc>
          <w:tcPr>
            <w:tcW w:w="1082" w:type="dxa"/>
            <w:tcBorders/>
            <w:shd w:fill="CCEEFF" w:val="clear"/>
            <w:vAlign w:val="center"/>
          </w:tcPr>
          <w:p>
            <w:pPr>
              <w:pStyle w:val="TableContents"/>
              <w:bidi w:val="0"/>
              <w:spacing w:before="0" w:after="283"/>
              <w:jc w:val="left"/>
              <w:rPr/>
            </w:pPr>
            <w:r>
              <w:rPr/>
              <w:t> </w:t>
            </w:r>
          </w:p>
        </w:tc>
        <w:tc>
          <w:tcPr>
            <w:tcW w:w="8772"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r>
      <w:tr>
        <w:trPr/>
        <w:tc>
          <w:tcPr>
            <w:tcW w:w="10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II</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LOANS</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2.01</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2.02</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Making the Loans</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2.03</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Loans; Evidence of Debt</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75</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2.04</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76</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2.05</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Reduction of Commitment; Prepayment of Loans</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78</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2.06</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83</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2.07</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SOFR Option; Suspension of SOFR Option; Benchmark Transition</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86</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2.08</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Funding Losses</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89</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2.09</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90</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2.10</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Costs and Reduced Return</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1082" w:type="dxa"/>
            <w:tcBorders/>
            <w:shd w:fill="CCEEFF" w:val="clear"/>
            <w:vAlign w:val="center"/>
          </w:tcPr>
          <w:p>
            <w:pPr>
              <w:pStyle w:val="TableContents"/>
              <w:bidi w:val="0"/>
              <w:spacing w:before="0" w:after="283"/>
              <w:jc w:val="left"/>
              <w:rPr/>
            </w:pPr>
            <w:r>
              <w:rPr/>
              <w:t> </w:t>
            </w:r>
          </w:p>
        </w:tc>
        <w:tc>
          <w:tcPr>
            <w:tcW w:w="8772"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r>
      <w:tr>
        <w:trPr/>
        <w:tc>
          <w:tcPr>
            <w:tcW w:w="10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III</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r>
      <w:tr>
        <w:trPr/>
        <w:tc>
          <w:tcPr>
            <w:tcW w:w="1082" w:type="dxa"/>
            <w:tcBorders/>
            <w:shd w:fill="CCEEFF" w:val="clear"/>
            <w:vAlign w:val="center"/>
          </w:tcPr>
          <w:p>
            <w:pPr>
              <w:pStyle w:val="TableContents"/>
              <w:bidi w:val="0"/>
              <w:spacing w:before="0" w:after="283"/>
              <w:jc w:val="left"/>
              <w:rPr/>
            </w:pPr>
            <w:r>
              <w:rPr/>
              <w:t> </w:t>
            </w:r>
          </w:p>
        </w:tc>
        <w:tc>
          <w:tcPr>
            <w:tcW w:w="8772"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r>
      <w:tr>
        <w:trPr/>
        <w:tc>
          <w:tcPr>
            <w:tcW w:w="10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IV</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APPLICATION OF PAYMENTS; DEFAULTING LENDERS; JOINT AND SEVERAL LIABILITY OF BORROWERS</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4.01</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Computations and Statements</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4.02</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Sharing of Payments</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95</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4.03</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Apportionment of Payments</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95</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4.04</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Defaulting Lenders</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96</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4.05</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 Borrower; Joint and Several Liability of the Borrowers</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r>
      <w:tr>
        <w:trPr/>
        <w:tc>
          <w:tcPr>
            <w:tcW w:w="1082" w:type="dxa"/>
            <w:tcBorders/>
            <w:shd w:fill="FFFFFF" w:val="clear"/>
            <w:vAlign w:val="center"/>
          </w:tcPr>
          <w:p>
            <w:pPr>
              <w:pStyle w:val="TableContents"/>
              <w:bidi w:val="0"/>
              <w:spacing w:before="0" w:after="283"/>
              <w:jc w:val="left"/>
              <w:rPr/>
            </w:pPr>
            <w:r>
              <w:rPr/>
              <w:t> </w:t>
            </w:r>
          </w:p>
        </w:tc>
        <w:tc>
          <w:tcPr>
            <w:tcW w:w="8772"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r>
      <w:tr>
        <w:trPr/>
        <w:tc>
          <w:tcPr>
            <w:tcW w:w="10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V</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TO LOANS</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5.01</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Precedent to Effectiveness</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5.02</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Precedent to Delayed Draw Term Loan</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r>
      <w:tr>
        <w:trPr/>
        <w:tc>
          <w:tcPr>
            <w:tcW w:w="10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5.03</w:t>
            </w:r>
          </w:p>
        </w:tc>
        <w:tc>
          <w:tcPr>
            <w:tcW w:w="87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Precedent to Revolving Loans</w:t>
            </w:r>
          </w:p>
        </w:tc>
        <w:tc>
          <w:tcPr>
            <w:tcW w:w="35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r>
      <w:tr>
        <w:trPr/>
        <w:tc>
          <w:tcPr>
            <w:tcW w:w="10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5.04</w:t>
            </w:r>
          </w:p>
        </w:tc>
        <w:tc>
          <w:tcPr>
            <w:tcW w:w="87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Subsequent to Effectiveness</w:t>
            </w:r>
          </w:p>
        </w:tc>
        <w:tc>
          <w:tcPr>
            <w:tcW w:w="35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595" w:type="dxa"/>
        <w:jc w:val="left"/>
        <w:tblInd w:w="0" w:type="dxa"/>
        <w:tblLayout w:type="fixed"/>
        <w:tblCellMar>
          <w:top w:w="0" w:type="dxa"/>
          <w:left w:w="0" w:type="dxa"/>
          <w:bottom w:w="0" w:type="dxa"/>
          <w:right w:w="0" w:type="dxa"/>
        </w:tblCellMar>
      </w:tblPr>
      <w:tblGrid>
        <w:gridCol w:w="1220"/>
        <w:gridCol w:w="7025"/>
        <w:gridCol w:w="350"/>
      </w:tblGrid>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VI</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REPRESENTATIONS AND WARRANTIES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6.01</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Representations and Warranties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r>
      <w:tr>
        <w:trPr/>
        <w:tc>
          <w:tcPr>
            <w:tcW w:w="1220" w:type="dxa"/>
            <w:tcBorders/>
            <w:shd w:fill="CCEEFF" w:val="clear"/>
            <w:vAlign w:val="center"/>
          </w:tcPr>
          <w:p>
            <w:pPr>
              <w:pStyle w:val="TableContents"/>
              <w:bidi w:val="0"/>
              <w:spacing w:before="0" w:after="283"/>
              <w:jc w:val="left"/>
              <w:rPr/>
            </w:pPr>
            <w:r>
              <w:rPr/>
              <w:t> </w:t>
            </w:r>
          </w:p>
        </w:tc>
        <w:tc>
          <w:tcPr>
            <w:tcW w:w="702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VII</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COVENANTS OF THE LOAN PARTIES AND OTHER COLLATERAL MATTERS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115</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7.01</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Affirmative Covenants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115</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7.02</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Negative Covenants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128</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7.03</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Covenants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135</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7.04</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136</w:t>
            </w:r>
          </w:p>
        </w:tc>
      </w:tr>
      <w:tr>
        <w:trPr/>
        <w:tc>
          <w:tcPr>
            <w:tcW w:w="1220" w:type="dxa"/>
            <w:tcBorders/>
            <w:shd w:fill="CCEEFF" w:val="clear"/>
            <w:vAlign w:val="center"/>
          </w:tcPr>
          <w:p>
            <w:pPr>
              <w:pStyle w:val="TableContents"/>
              <w:bidi w:val="0"/>
              <w:spacing w:before="0" w:after="283"/>
              <w:jc w:val="left"/>
              <w:rPr/>
            </w:pPr>
            <w:r>
              <w:rPr/>
              <w:t> </w:t>
            </w:r>
          </w:p>
        </w:tc>
        <w:tc>
          <w:tcPr>
            <w:tcW w:w="702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VIII</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MANAGEMENT ARRANGEMENTS AND OTHER COLLATERAL MATTERS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136</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8.01</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Management Arrangements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136</w:t>
            </w:r>
          </w:p>
        </w:tc>
      </w:tr>
      <w:tr>
        <w:trPr/>
        <w:tc>
          <w:tcPr>
            <w:tcW w:w="1220" w:type="dxa"/>
            <w:tcBorders/>
            <w:shd w:fill="FFFFFF" w:val="clear"/>
            <w:vAlign w:val="center"/>
          </w:tcPr>
          <w:p>
            <w:pPr>
              <w:pStyle w:val="TableContents"/>
              <w:bidi w:val="0"/>
              <w:spacing w:before="0" w:after="283"/>
              <w:jc w:val="left"/>
              <w:rPr/>
            </w:pPr>
            <w:r>
              <w:rPr/>
              <w:t> </w:t>
            </w:r>
          </w:p>
        </w:tc>
        <w:tc>
          <w:tcPr>
            <w:tcW w:w="702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IX</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EVENTS OF DEFAULT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9.01</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Events of Default</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r>
      <w:tr>
        <w:trPr/>
        <w:tc>
          <w:tcPr>
            <w:tcW w:w="1220" w:type="dxa"/>
            <w:tcBorders/>
            <w:shd w:fill="CCEEFF" w:val="clear"/>
            <w:vAlign w:val="center"/>
          </w:tcPr>
          <w:p>
            <w:pPr>
              <w:pStyle w:val="TableContents"/>
              <w:bidi w:val="0"/>
              <w:spacing w:before="0" w:after="283"/>
              <w:jc w:val="left"/>
              <w:rPr/>
            </w:pPr>
            <w:r>
              <w:rPr/>
              <w:t> </w:t>
            </w:r>
          </w:p>
        </w:tc>
        <w:tc>
          <w:tcPr>
            <w:tcW w:w="702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X</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AGENTS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142</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10.01</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Appointment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142</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10.02</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Nature of Duties; Delegation</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142</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10.03</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Rights, Exculpation, Etc</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144</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10.04</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Reliance</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144</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10.05</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Indemnification</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144</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10.06</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Agents Individually</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145</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10.07</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Successor Agent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145</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10.08</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 Matters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146</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10.09</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Agency for Perfection</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147</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10.10</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Reliance on any Agent’s Customer Identification Program</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147</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10.11</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Third-Party Beneficiaries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148</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10.12</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Fiduciary Relationship</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148</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10.13</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148</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10.14</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 Custodian</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148</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10.15</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 Agent May File Proofs of Claim</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148</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10.16</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Erroneous Distribution</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149</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10.17</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149</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10.18</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Security Documents.  In relation to any Swiss Security Document:</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149</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10.19</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Parallel Debt; Covenant to Pay the Collateral Agent.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150</w:t>
            </w:r>
          </w:p>
        </w:tc>
      </w:tr>
      <w:tr>
        <w:trPr/>
        <w:tc>
          <w:tcPr>
            <w:tcW w:w="1220" w:type="dxa"/>
            <w:tcBorders/>
            <w:shd w:fill="FFFFFF" w:val="clear"/>
            <w:vAlign w:val="center"/>
          </w:tcPr>
          <w:p>
            <w:pPr>
              <w:pStyle w:val="TableContents"/>
              <w:bidi w:val="0"/>
              <w:spacing w:before="0" w:after="283"/>
              <w:jc w:val="left"/>
              <w:rPr/>
            </w:pPr>
            <w:r>
              <w:rPr/>
              <w:t> </w:t>
            </w:r>
          </w:p>
        </w:tc>
        <w:tc>
          <w:tcPr>
            <w:tcW w:w="702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XI</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GUARANTY</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151</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11.01</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Guaranty</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151</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11.02</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Guaranty Absolute</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151</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11.03</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Waiver</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152</w:t>
            </w:r>
          </w:p>
        </w:tc>
      </w:tr>
      <w:tr>
        <w:trPr/>
        <w:tc>
          <w:tcPr>
            <w:tcW w:w="1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11.04</w:t>
            </w:r>
          </w:p>
        </w:tc>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Continuing Guaranty; Assignments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152</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11.05</w:t>
            </w:r>
          </w:p>
        </w:tc>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Subrogation</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275" w:type="dxa"/>
        <w:jc w:val="left"/>
        <w:tblInd w:w="0" w:type="dxa"/>
        <w:tblLayout w:type="fixed"/>
        <w:tblCellMar>
          <w:top w:w="0" w:type="dxa"/>
          <w:left w:w="0" w:type="dxa"/>
          <w:bottom w:w="0" w:type="dxa"/>
          <w:right w:w="0" w:type="dxa"/>
        </w:tblCellMar>
      </w:tblPr>
      <w:tblGrid>
        <w:gridCol w:w="1160"/>
        <w:gridCol w:w="5765"/>
        <w:gridCol w:w="350"/>
      </w:tblGrid>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11.06</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Contribution</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153</w:t>
            </w:r>
          </w:p>
        </w:tc>
      </w:tr>
      <w:tr>
        <w:trPr/>
        <w:tc>
          <w:tcPr>
            <w:tcW w:w="11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11.07</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Discharge of Guaranty Upon Sale of Guarantor</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153</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11.08</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Guaranty Limitation</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153</w:t>
            </w:r>
          </w:p>
        </w:tc>
      </w:tr>
      <w:tr>
        <w:trPr/>
        <w:tc>
          <w:tcPr>
            <w:tcW w:w="1160" w:type="dxa"/>
            <w:tcBorders/>
            <w:shd w:fill="FFFFFF" w:val="clear"/>
            <w:vAlign w:val="center"/>
          </w:tcPr>
          <w:p>
            <w:pPr>
              <w:pStyle w:val="TableContents"/>
              <w:bidi w:val="0"/>
              <w:spacing w:before="0" w:after="283"/>
              <w:jc w:val="left"/>
              <w:rPr/>
            </w:pPr>
            <w:r>
              <w:rPr/>
              <w:t> </w:t>
            </w:r>
          </w:p>
        </w:tc>
        <w:tc>
          <w:tcPr>
            <w:tcW w:w="576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XII</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MISCELLANEOUS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156</w:t>
            </w:r>
          </w:p>
        </w:tc>
      </w:tr>
      <w:tr>
        <w:trPr/>
        <w:tc>
          <w:tcPr>
            <w:tcW w:w="11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12.01</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Notices, Etc</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156</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12.02</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Amendments, Etc</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158</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12.03</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Waiver; Remedies, Etc</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160</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12.04</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Taxes; Attorneys’ Fees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160</w:t>
            </w:r>
          </w:p>
        </w:tc>
      </w:tr>
      <w:tr>
        <w:trPr/>
        <w:tc>
          <w:tcPr>
            <w:tcW w:w="11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12.05</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Set-off</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162</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12.06</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Severability</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162</w:t>
            </w:r>
          </w:p>
        </w:tc>
      </w:tr>
      <w:tr>
        <w:trPr/>
        <w:tc>
          <w:tcPr>
            <w:tcW w:w="11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12.07</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Assignments and Participations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162</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12.08</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Counterparts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167</w:t>
            </w:r>
          </w:p>
        </w:tc>
      </w:tr>
      <w:tr>
        <w:trPr/>
        <w:tc>
          <w:tcPr>
            <w:tcW w:w="11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12.09</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GOVERNING LAW</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167</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12.10</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CONSENT TO JURISDICTION; SERVICE OF PROCESS AND VENUE</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167</w:t>
            </w:r>
          </w:p>
        </w:tc>
      </w:tr>
      <w:tr>
        <w:trPr/>
        <w:tc>
          <w:tcPr>
            <w:tcW w:w="11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12.11</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WAIVER OF JURY TRIAL, ETC</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168</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12.12</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Consent by the Agents and Lenders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168</w:t>
            </w:r>
          </w:p>
        </w:tc>
      </w:tr>
      <w:tr>
        <w:trPr/>
        <w:tc>
          <w:tcPr>
            <w:tcW w:w="11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12.13</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Party Deemed Drafter</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168</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12.14</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Reinstatement; Certain Payments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168</w:t>
            </w:r>
          </w:p>
        </w:tc>
      </w:tr>
      <w:tr>
        <w:trPr/>
        <w:tc>
          <w:tcPr>
            <w:tcW w:w="11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12.15</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Indemnification; Limitation of Liability for Certain Damages</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168</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12.16</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Records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170</w:t>
            </w:r>
          </w:p>
        </w:tc>
      </w:tr>
      <w:tr>
        <w:trPr/>
        <w:tc>
          <w:tcPr>
            <w:tcW w:w="11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12.17</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Binding Effect</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170</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12.18</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Highest Lawful Rate</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170</w:t>
            </w:r>
          </w:p>
        </w:tc>
      </w:tr>
      <w:tr>
        <w:trPr/>
        <w:tc>
          <w:tcPr>
            <w:tcW w:w="11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12.19</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Confidentiality</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171</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12.20</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Disclosure</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171</w:t>
            </w:r>
          </w:p>
        </w:tc>
      </w:tr>
      <w:tr>
        <w:trPr/>
        <w:tc>
          <w:tcPr>
            <w:tcW w:w="11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12.21</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Integration</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172</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12.22</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 PATRIOT Act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172</w:t>
            </w:r>
          </w:p>
        </w:tc>
      </w:tr>
      <w:tr>
        <w:trPr/>
        <w:tc>
          <w:tcPr>
            <w:tcW w:w="11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12.23</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Survival of Agreement</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172</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12.24</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Judgment Currency</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172</w:t>
            </w:r>
          </w:p>
        </w:tc>
      </w:tr>
      <w:tr>
        <w:trPr/>
        <w:tc>
          <w:tcPr>
            <w:tcW w:w="11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12.25</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Recognition of Bail-in</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173</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12.26</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Headings</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173</w:t>
            </w:r>
          </w:p>
        </w:tc>
      </w:tr>
      <w:tr>
        <w:trPr/>
        <w:tc>
          <w:tcPr>
            <w:tcW w:w="11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12.27</w:t>
            </w:r>
          </w:p>
        </w:tc>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Lender Action</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173</w:t>
            </w:r>
          </w:p>
        </w:tc>
      </w:tr>
      <w:tr>
        <w:trPr/>
        <w:tc>
          <w:tcPr>
            <w:tcW w:w="11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12.28</w:t>
            </w:r>
          </w:p>
        </w:tc>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Fiduciary Duty</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SCHEDULE AND EXHIBITS</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1460"/>
        <w:gridCol w:w="6335"/>
      </w:tblGrid>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1.01(A)</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Lenders and Lenders’ Commitments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1.01(B)</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1.01(C)</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Hedge Banks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1.01(D)</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Currencies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6.01(e)</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Subsidiaries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6.01(f)</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6.01(m)</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Recalls and Market Withdrawals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6.01(p)</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and Labor Matters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6.01(q)</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Matters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6.01(r)</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6.01(u)</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Intellectual Property</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6.01(v)</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 Contracts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6.01(y)</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Sanctions; Anti-Corruption, Anti-Money Laundering and Trade Control Laws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7.01(u)</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Post-Closing Obligations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7.02(a)</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Liens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7.02(b)</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Indebtedness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7.02(e)</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Investments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7.02(j)</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Transactions with Affiliates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7.02(k)</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Limitations on Dividends and Other Payment Restrictions</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7.04</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Permitted Activities of the Administrative Borrower</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8.01</w:t>
            </w:r>
          </w:p>
        </w:tc>
        <w:tc>
          <w:tcPr>
            <w:tcW w:w="6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Management Accounts</w:t>
            </w:r>
          </w:p>
        </w:tc>
      </w:tr>
    </w:tbl>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875"/>
        <w:gridCol w:w="3890"/>
      </w:tblGrid>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A</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Joinder Agreement</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B</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Assignment and Acceptance</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C</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Notice of Borrowing</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D</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SOFR Notice</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E</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Compliance Certificate</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F</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Note</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G</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Borrowing Base Certificate</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H</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[Reserved]</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I</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Forms of U.S. Tax Compliance Certificate</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J</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Hedge Accession Agreement</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K</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Minimum Liquidity Certificate</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L</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Delayed Draw Penny Warrants</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M</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Delayed Draw Premium Warrants</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Delayed Draw Super Premium Warrants</w:t>
            </w:r>
          </w:p>
        </w:tc>
      </w:tr>
      <w:tr>
        <w:trPr/>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O</w:t>
            </w:r>
          </w:p>
        </w:tc>
        <w:tc>
          <w:tcPr>
            <w:tcW w:w="3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Amendment No. 3 Penny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Financing Agreement, dated as of June 6, 2025, by and among Accuray Incorporated, a Delaware corporation (“</w:t>
      </w:r>
      <w:r>
        <w:rPr>
          <w:rFonts w:ascii="Times New Roman" w:hAnsi="Times New Roman"/>
          <w:caps w:val="false"/>
          <w:smallCaps w:val="false"/>
          <w:sz w:val="20"/>
          <w:u w:val="single"/>
        </w:rPr>
        <w:t>Accuray</w:t>
      </w:r>
      <w:r>
        <w:rPr>
          <w:rFonts w:ascii="Times New Roman" w:hAnsi="Times New Roman"/>
          <w:caps w:val="false"/>
          <w:smallCaps w:val="false"/>
          <w:sz w:val="20"/>
        </w:rPr>
        <w:t>” and the “</w:t>
      </w:r>
      <w:r>
        <w:rPr>
          <w:rFonts w:ascii="Times New Roman" w:hAnsi="Times New Roman"/>
          <w:caps w:val="false"/>
          <w:smallCaps w:val="false"/>
          <w:sz w:val="20"/>
          <w:u w:val="single"/>
        </w:rPr>
        <w:t>Administrative Borrower</w:t>
      </w:r>
      <w:r>
        <w:rPr>
          <w:rFonts w:ascii="Times New Roman" w:hAnsi="Times New Roman"/>
          <w:caps w:val="false"/>
          <w:smallCaps w:val="false"/>
          <w:sz w:val="20"/>
        </w:rPr>
        <w:t>”, and each other Person that executes a joinder agreement and becomes a “Borrower” hereunder, each a “</w:t>
      </w:r>
      <w:r>
        <w:rPr>
          <w:rFonts w:ascii="Times New Roman" w:hAnsi="Times New Roman"/>
          <w:caps w:val="false"/>
          <w:smallCaps w:val="false"/>
          <w:sz w:val="20"/>
          <w:u w:val="single"/>
        </w:rPr>
        <w:t>Borrower</w:t>
      </w:r>
      <w:r>
        <w:rPr>
          <w:rFonts w:ascii="Times New Roman" w:hAnsi="Times New Roman"/>
          <w:caps w:val="false"/>
          <w:smallCaps w:val="false"/>
          <w:sz w:val="20"/>
        </w:rPr>
        <w:t>” and collectively, the “</w:t>
      </w:r>
      <w:r>
        <w:rPr>
          <w:rFonts w:ascii="Times New Roman" w:hAnsi="Times New Roman"/>
          <w:caps w:val="false"/>
          <w:smallCaps w:val="false"/>
          <w:sz w:val="20"/>
          <w:u w:val="single"/>
        </w:rPr>
        <w:t>Borrowers</w:t>
      </w:r>
      <w:r>
        <w:rPr>
          <w:rFonts w:ascii="Times New Roman" w:hAnsi="Times New Roman"/>
          <w:caps w:val="false"/>
          <w:smallCaps w:val="false"/>
          <w:sz w:val="20"/>
        </w:rPr>
        <w:t>”), each subsidiary of Accuray listed as a “Guarantor” on the signature pages hereto (together with each other Person that executes a joinder agreement and becomes a “Guarantor” hereunder, each a “</w:t>
      </w:r>
      <w:r>
        <w:rPr>
          <w:rFonts w:ascii="Times New Roman" w:hAnsi="Times New Roman"/>
          <w:caps w:val="false"/>
          <w:smallCaps w:val="false"/>
          <w:sz w:val="20"/>
          <w:u w:val="single"/>
        </w:rPr>
        <w:t>Guarantor</w:t>
      </w:r>
      <w:r>
        <w:rPr>
          <w:rFonts w:ascii="Times New Roman" w:hAnsi="Times New Roman"/>
          <w:caps w:val="false"/>
          <w:smallCaps w:val="false"/>
          <w:sz w:val="20"/>
        </w:rPr>
        <w:t>” and collectively, the “</w:t>
      </w:r>
      <w:r>
        <w:rPr>
          <w:rFonts w:ascii="Times New Roman" w:hAnsi="Times New Roman"/>
          <w:caps w:val="false"/>
          <w:smallCaps w:val="false"/>
          <w:sz w:val="20"/>
          <w:u w:val="single"/>
        </w:rPr>
        <w:t>Guarantors</w:t>
      </w:r>
      <w:r>
        <w:rPr>
          <w:rFonts w:ascii="Times New Roman" w:hAnsi="Times New Roman"/>
          <w:caps w:val="false"/>
          <w:smallCaps w:val="false"/>
          <w:sz w:val="20"/>
        </w:rPr>
        <w:t>”), the lenders from time to time party hereto (each a “</w:t>
      </w:r>
      <w:r>
        <w:rPr>
          <w:rFonts w:ascii="Times New Roman" w:hAnsi="Times New Roman"/>
          <w:caps w:val="false"/>
          <w:smallCaps w:val="false"/>
          <w:sz w:val="20"/>
          <w:u w:val="single"/>
        </w:rPr>
        <w:t>Lender</w:t>
      </w:r>
      <w:r>
        <w:rPr>
          <w:rFonts w:ascii="Times New Roman" w:hAnsi="Times New Roman"/>
          <w:caps w:val="false"/>
          <w:smallCaps w:val="false"/>
          <w:sz w:val="20"/>
        </w:rPr>
        <w:t>” and collectively, the “</w:t>
      </w:r>
      <w:r>
        <w:rPr>
          <w:rFonts w:ascii="Times New Roman" w:hAnsi="Times New Roman"/>
          <w:caps w:val="false"/>
          <w:smallCaps w:val="false"/>
          <w:sz w:val="20"/>
          <w:u w:val="single"/>
        </w:rPr>
        <w:t>Lenders</w:t>
      </w:r>
      <w:r>
        <w:rPr>
          <w:rFonts w:ascii="Times New Roman" w:hAnsi="Times New Roman"/>
          <w:caps w:val="false"/>
          <w:smallCaps w:val="false"/>
          <w:sz w:val="20"/>
        </w:rPr>
        <w:t>”), TCW Asset Management Company LLC, a Delaware limited liability company (“</w:t>
      </w:r>
      <w:r>
        <w:rPr>
          <w:rFonts w:ascii="Times New Roman" w:hAnsi="Times New Roman"/>
          <w:caps w:val="false"/>
          <w:smallCaps w:val="false"/>
          <w:sz w:val="20"/>
          <w:u w:val="single"/>
        </w:rPr>
        <w:t>TCW</w:t>
      </w:r>
      <w:r>
        <w:rPr>
          <w:rFonts w:ascii="Times New Roman" w:hAnsi="Times New Roman"/>
          <w:caps w:val="false"/>
          <w:smallCaps w:val="false"/>
          <w:sz w:val="20"/>
        </w:rPr>
        <w:t>”), as collateral agent for the Lenders (in such capacity, together with its successors and assigns in such capacity, the “</w:t>
      </w:r>
      <w:r>
        <w:rPr>
          <w:rFonts w:ascii="Times New Roman" w:hAnsi="Times New Roman"/>
          <w:caps w:val="false"/>
          <w:smallCaps w:val="false"/>
          <w:sz w:val="20"/>
          <w:u w:val="single"/>
        </w:rPr>
        <w:t>Collateral Agent</w:t>
      </w:r>
      <w:r>
        <w:rPr>
          <w:rFonts w:ascii="Times New Roman" w:hAnsi="Times New Roman"/>
          <w:caps w:val="false"/>
          <w:smallCaps w:val="false"/>
          <w:sz w:val="20"/>
        </w:rPr>
        <w:t>”), TCW, as administrative agent for the Lenders (in such capacity, together with its successors and assigns in such capacity, the “</w:t>
      </w:r>
      <w:r>
        <w:rPr>
          <w:rFonts w:ascii="Times New Roman" w:hAnsi="Times New Roman"/>
          <w:caps w:val="false"/>
          <w:smallCaps w:val="false"/>
          <w:sz w:val="20"/>
          <w:u w:val="single"/>
        </w:rPr>
        <w:t>Administrative Agent</w:t>
      </w:r>
      <w:r>
        <w:rPr>
          <w:rFonts w:ascii="Times New Roman" w:hAnsi="Times New Roman"/>
          <w:caps w:val="false"/>
          <w:smallCaps w:val="false"/>
          <w:sz w:val="20"/>
        </w:rPr>
        <w:t>”) and Wingspire Capital LLC, as servicing agent (in such capacity, including any successor thereto in such capacity, the “</w:t>
      </w:r>
      <w:r>
        <w:rPr>
          <w:rFonts w:ascii="Times New Roman" w:hAnsi="Times New Roman"/>
          <w:caps w:val="false"/>
          <w:smallCaps w:val="false"/>
          <w:sz w:val="20"/>
          <w:u w:val="single"/>
        </w:rPr>
        <w:t>Servicing Agent</w:t>
      </w:r>
      <w:r>
        <w:rPr>
          <w:rFonts w:ascii="Times New Roman" w:hAnsi="Times New Roman"/>
          <w:caps w:val="false"/>
          <w:smallCaps w:val="false"/>
          <w:sz w:val="20"/>
        </w:rPr>
        <w:t>”, and together with the Administrative Agent and Collateral Agent, each an “</w:t>
      </w:r>
      <w:r>
        <w:rPr>
          <w:rFonts w:ascii="Times New Roman" w:hAnsi="Times New Roman"/>
          <w:caps w:val="false"/>
          <w:smallCaps w:val="false"/>
          <w:sz w:val="20"/>
          <w:u w:val="single"/>
        </w:rPr>
        <w:t>Agent</w:t>
      </w:r>
      <w:r>
        <w:rPr>
          <w:rFonts w:ascii="Times New Roman" w:hAnsi="Times New Roman"/>
          <w:caps w:val="false"/>
          <w:smallCaps w:val="false"/>
          <w:sz w:val="20"/>
        </w:rPr>
        <w:t>” and collectively, the “</w:t>
      </w:r>
      <w:r>
        <w:rPr>
          <w:rFonts w:ascii="Times New Roman" w:hAnsi="Times New Roman"/>
          <w:caps w:val="false"/>
          <w:smallCaps w:val="false"/>
          <w:sz w:val="20"/>
          <w:u w:val="single"/>
        </w:rPr>
        <w:t>Agents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Accuray is party to (i) that certain Credit Agreement, dated as of May 6, 2021 (as amended by that certain First Amendment to Credit Agreement dated as of October 28, 2022, that certain Second Amendment to Credit Agreement dated as of November 20, 2023, that certain Third Amendment to Credit Agreement dated as of April 25, 2024, that certain Fourth Amendment to Credit Agreement, dated as of September 11, 2024, and as further amended, restated, amended and restated, supplemented and otherwise modified from time to time, the “</w:t>
      </w:r>
      <w:r>
        <w:rPr>
          <w:rFonts w:ascii="Times New Roman" w:hAnsi="Times New Roman"/>
          <w:caps w:val="false"/>
          <w:smallCaps w:val="false"/>
          <w:sz w:val="20"/>
          <w:u w:val="single"/>
        </w:rPr>
        <w:t>Existing Credit Agreement</w:t>
      </w:r>
      <w:r>
        <w:rPr>
          <w:rFonts w:ascii="Times New Roman" w:hAnsi="Times New Roman"/>
          <w:caps w:val="false"/>
          <w:smallCaps w:val="false"/>
          <w:sz w:val="20"/>
        </w:rPr>
        <w:t>”), by and among Accuray, as borrower, Silicon Valley Bank, a division of First-Citizens Bank &amp; Trust Company, as administrative agent (in such capacity, the “</w:t>
      </w:r>
      <w:r>
        <w:rPr>
          <w:rFonts w:ascii="Times New Roman" w:hAnsi="Times New Roman"/>
          <w:caps w:val="false"/>
          <w:smallCaps w:val="false"/>
          <w:sz w:val="20"/>
          <w:u w:val="single"/>
        </w:rPr>
        <w:t>Existing Agent</w:t>
      </w:r>
      <w:r>
        <w:rPr>
          <w:rFonts w:ascii="Times New Roman" w:hAnsi="Times New Roman"/>
          <w:caps w:val="false"/>
          <w:smallCaps w:val="false"/>
          <w:sz w:val="20"/>
        </w:rPr>
        <w:t>”), and the lenders party thereto (the “</w:t>
      </w:r>
      <w:r>
        <w:rPr>
          <w:rFonts w:ascii="Times New Roman" w:hAnsi="Times New Roman"/>
          <w:caps w:val="false"/>
          <w:smallCaps w:val="false"/>
          <w:sz w:val="20"/>
          <w:u w:val="single"/>
        </w:rPr>
        <w:t>Existing Lenders</w:t>
      </w:r>
      <w:r>
        <w:rPr>
          <w:rFonts w:ascii="Times New Roman" w:hAnsi="Times New Roman"/>
          <w:caps w:val="false"/>
          <w:smallCaps w:val="false"/>
          <w:sz w:val="20"/>
        </w:rPr>
        <w:t>”) and (ii) that certain Indenture, dated as of May 13, 2021 (as amended, restated, amended and restated, supplemented and otherwise modified from time to time, the “</w:t>
      </w:r>
      <w:r>
        <w:rPr>
          <w:rFonts w:ascii="Times New Roman" w:hAnsi="Times New Roman"/>
          <w:caps w:val="false"/>
          <w:smallCaps w:val="false"/>
          <w:sz w:val="20"/>
          <w:u w:val="single"/>
        </w:rPr>
        <w:t>Existing Indenture</w:t>
      </w:r>
      <w:r>
        <w:rPr>
          <w:rFonts w:ascii="Times New Roman" w:hAnsi="Times New Roman"/>
          <w:caps w:val="false"/>
          <w:smallCaps w:val="false"/>
          <w:sz w:val="20"/>
        </w:rPr>
        <w:t>”) by and among Accuray and The Bank of New York Mellon Trust Company, N.A., as trustee (in such capacity, the “</w:t>
      </w:r>
      <w:r>
        <w:rPr>
          <w:rFonts w:ascii="Times New Roman" w:hAnsi="Times New Roman"/>
          <w:caps w:val="false"/>
          <w:smallCaps w:val="false"/>
          <w:sz w:val="20"/>
          <w:u w:val="single"/>
        </w:rPr>
        <w:t>Existing Trustee</w:t>
      </w:r>
      <w:r>
        <w:rPr>
          <w:rFonts w:ascii="Times New Roman" w:hAnsi="Times New Roman"/>
          <w:caps w:val="false"/>
          <w:smallCaps w:val="false"/>
          <w:sz w:val="20"/>
        </w:rPr>
        <w:t>”), providing for the issuance of 3.75% Convertible Senior Notes due 2026 (the “</w:t>
      </w:r>
      <w:r>
        <w:rPr>
          <w:rFonts w:ascii="Times New Roman" w:hAnsi="Times New Roman"/>
          <w:caps w:val="false"/>
          <w:smallCaps w:val="false"/>
          <w:sz w:val="20"/>
          <w:u w:val="single"/>
        </w:rPr>
        <w:t>Existing Notes</w:t>
      </w:r>
      <w:r>
        <w:rPr>
          <w:rFonts w:ascii="Times New Roman" w:hAnsi="Times New Roman"/>
          <w:caps w:val="false"/>
          <w:smallCaps w:val="false"/>
          <w:sz w:val="20"/>
        </w:rPr>
        <w:t>”), as contemplated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Borrowers have asked the Lenders to extend credit to the Borrowers consisting of (a) a Term Loan A in the aggregate principal amount of $30,000,000, (b) a Term Loan B in the aggregate principal amount of $120,000,000, (c) a Delayed Draw Term Loan facility in a maximum aggregate committed amount of $23,250,000 and (d) a revolving credit facility in an aggregate principal amount not to exceed $30,000,000 at any time outstanding, of which $0 will be advanced on the Effective Date. The proceeds of the Loans shall be used in accordance with Section 6.01(s) hereof, including to repay in part the loans and other obligations under the Existing Credit Agreement and to consummate the exchange of all, or a portion of, the Existing Notes (the “</w:t>
      </w:r>
      <w:r>
        <w:rPr>
          <w:rFonts w:ascii="Times New Roman" w:hAnsi="Times New Roman"/>
          <w:caps w:val="false"/>
          <w:smallCaps w:val="false"/>
          <w:sz w:val="20"/>
          <w:u w:val="single"/>
        </w:rPr>
        <w:t>Refinancing</w:t>
      </w:r>
      <w:r>
        <w:rPr>
          <w:rFonts w:ascii="Times New Roman" w:hAnsi="Times New Roman"/>
          <w:caps w:val="false"/>
          <w:smallCaps w:val="false"/>
          <w:sz w:val="20"/>
        </w:rPr>
        <w:t>”). The Lenders are severally, and not jointly, willing to extend such credit to the Borrowers subject to the terms and conditions hereinafter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consideration of the premises and the covenants and agreements contained herein,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br/>
        <w:br/>
        <w:t>    </w:t>
      </w:r>
      <w:r>
        <w:rPr>
          <w:rFonts w:ascii="Times New Roman" w:hAnsi="Times New Roman"/>
          <w:b/>
          <w:caps w:val="false"/>
          <w:smallCaps w:val="false"/>
          <w:sz w:val="20"/>
        </w:rPr>
        <w:t>DEFINITIONS; CERTAIN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1.01    </w:t>
      </w:r>
      <w:r>
        <w:rPr>
          <w:rFonts w:ascii="Times New Roman" w:hAnsi="Times New Roman"/>
          <w:caps w:val="false"/>
          <w:smallCaps w:val="false"/>
          <w:sz w:val="20"/>
          <w:u w:val="single"/>
        </w:rPr>
        <w:t>Definitions</w:t>
      </w:r>
      <w:r>
        <w:rPr>
          <w:rFonts w:ascii="Times New Roman" w:hAnsi="Times New Roman"/>
          <w:caps w:val="false"/>
          <w:smallCaps w:val="false"/>
          <w:sz w:val="20"/>
        </w:rPr>
        <w:t>. As used in this Agreement, the following terms shall have the respective meanings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Accepting Lender</w:t>
      </w:r>
      <w:r>
        <w:rPr>
          <w:rFonts w:ascii="Times New Roman" w:hAnsi="Times New Roman"/>
          <w:caps w:val="false"/>
          <w:smallCaps w:val="false"/>
          <w:sz w:val="20"/>
        </w:rPr>
        <w:t>” has the meaning specified therefor in Section 2.05(g).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Account Debtor</w:t>
      </w:r>
      <w:r>
        <w:rPr>
          <w:rFonts w:ascii="Times New Roman" w:hAnsi="Times New Roman"/>
          <w:caps w:val="false"/>
          <w:smallCaps w:val="false"/>
          <w:sz w:val="20"/>
        </w:rPr>
        <w:t>” means, with respect to any Person, each debtor, customer or obligor in any way obligated on or in connection with any account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Accounts</w:t>
      </w:r>
      <w:r>
        <w:rPr>
          <w:rFonts w:ascii="Times New Roman" w:hAnsi="Times New Roman"/>
          <w:caps w:val="false"/>
          <w:smallCaps w:val="false"/>
          <w:sz w:val="20"/>
        </w:rPr>
        <w:t>” has the meaning set forth in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Acquisition</w:t>
      </w:r>
      <w:r>
        <w:rPr>
          <w:rFonts w:ascii="Times New Roman" w:hAnsi="Times New Roman"/>
          <w:caps w:val="false"/>
          <w:smallCaps w:val="false"/>
          <w:sz w:val="20"/>
        </w:rPr>
        <w:t>” means the acquisition (whether by means of a merger, consolidation or otherwise) of all of the Equity Interests of any Person or all or substantially all of the assets of (or any division or business line of) any Person using consideration in the form of cash, cash equivalents, Indebtedness and/or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Action</w:t>
      </w:r>
      <w:r>
        <w:rPr>
          <w:rFonts w:ascii="Times New Roman" w:hAnsi="Times New Roman"/>
          <w:caps w:val="false"/>
          <w:smallCaps w:val="false"/>
          <w:sz w:val="20"/>
        </w:rPr>
        <w:t>” has the meaning specified therefor in Section 12.12.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Additional Amount</w:t>
      </w:r>
      <w:r>
        <w:rPr>
          <w:rFonts w:ascii="Times New Roman" w:hAnsi="Times New Roman"/>
          <w:caps w:val="false"/>
          <w:smallCaps w:val="false"/>
          <w:sz w:val="20"/>
        </w:rPr>
        <w:t>” has the meaning specified therefor in Section 2.09(a).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Adjusted Term SOFR</w:t>
      </w:r>
      <w:r>
        <w:rPr>
          <w:rFonts w:ascii="Times New Roman" w:hAnsi="Times New Roman"/>
          <w:caps w:val="false"/>
          <w:smallCaps w:val="false"/>
          <w:sz w:val="20"/>
        </w:rPr>
        <w:t>” means, for purposes of any calculation, the rate per annum equal to Term SOFR for such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Administrative Agent</w:t>
      </w:r>
      <w:r>
        <w:rPr>
          <w:rFonts w:ascii="Times New Roman" w:hAnsi="Times New Roman"/>
          <w:caps w:val="false"/>
          <w:smallCaps w:val="false"/>
          <w:sz w:val="20"/>
        </w:rPr>
        <w:t>” has the meaning specified therefor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Administrative Agent’s Account</w:t>
      </w:r>
      <w:r>
        <w:rPr>
          <w:rFonts w:ascii="Times New Roman" w:hAnsi="Times New Roman"/>
          <w:caps w:val="false"/>
          <w:smallCaps w:val="false"/>
          <w:sz w:val="20"/>
        </w:rPr>
        <w:t>” means an account at a bank designated by the Administrative Agent from time to time as the account into which the Loan Parties shall make all payments to the Administrative Agent for the benefit of the Agents and the Lenders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Administrative Agent Fee Letter</w:t>
      </w:r>
      <w:r>
        <w:rPr>
          <w:rFonts w:ascii="Times New Roman" w:hAnsi="Times New Roman"/>
          <w:caps w:val="false"/>
          <w:smallCaps w:val="false"/>
          <w:sz w:val="20"/>
        </w:rPr>
        <w:t>” means the fee letter, dated as of the date hereof, among the Administrative Borrower and the Administrative Agent, as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Administrative Borrower</w:t>
      </w:r>
      <w:r>
        <w:rPr>
          <w:rFonts w:ascii="Times New Roman" w:hAnsi="Times New Roman"/>
          <w:caps w:val="false"/>
          <w:smallCaps w:val="false"/>
          <w:sz w:val="20"/>
        </w:rPr>
        <w:t>” has the meaning specified therefor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Adverse Proceeding</w:t>
      </w:r>
      <w:r>
        <w:rPr>
          <w:rFonts w:ascii="Times New Roman" w:hAnsi="Times New Roman"/>
          <w:caps w:val="false"/>
          <w:smallCaps w:val="false"/>
          <w:sz w:val="20"/>
        </w:rPr>
        <w:t>” means any action, suit, qui tam, whistleblower action, proceeding, hearing (in each case, whether administrative, judicial or otherwise), governmental investigation or arbitration (whether or not purportedly on behalf of Holdings or any of its Subsidiaries) at law or in equity, or before or by any Governmental Authority, domestic or foreign (including any Environmental Claims), whether pending or, to the knowledge of Administrative Borrower or any of its Subsidiaries, threatened against or affecting Administrative Borrower or any of its Subsidiaries or any property of Administrative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Affiliate</w:t>
      </w:r>
      <w:r>
        <w:rPr>
          <w:rFonts w:ascii="Times New Roman" w:hAnsi="Times New Roman"/>
          <w:caps w:val="false"/>
          <w:smallCaps w:val="false"/>
          <w:sz w:val="20"/>
        </w:rPr>
        <w:t>” means, with respect to any Person, any other Person that directly or indirectly through one or more intermediaries, controls, is controlled by, or is under common control with, such Person. For purposes of this definition, “control” of a Person means the power, directly or indirectly, either to (a) vote 10% or more of the Equity Interests having ordinary voting power for the election of members of the Board of Directors of such Person or (b) direct or cause the direction of the management and policies of such Person whether through the ability to exercise voting power, by contract or otherwise. Notwithstanding anything herein to the contrary, in no event shall any Agent or any Lender be considered an “Affiliate” of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Agents</w:t>
      </w:r>
      <w:r>
        <w:rPr>
          <w:rFonts w:ascii="Times New Roman" w:hAnsi="Times New Roman"/>
          <w:caps w:val="false"/>
          <w:smallCaps w:val="false"/>
          <w:sz w:val="20"/>
        </w:rPr>
        <w:t>” has the meaning specified therefor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Agreement</w:t>
      </w:r>
      <w:r>
        <w:rPr>
          <w:rFonts w:ascii="Times New Roman" w:hAnsi="Times New Roman"/>
          <w:caps w:val="false"/>
          <w:smallCaps w:val="false"/>
          <w:sz w:val="20"/>
        </w:rPr>
        <w:t>” means this Financing Agreement, including all amendments, amendments and restatements, supplements other modifications and any exhibits or schedules to any of the foregoing, and shall refer to the Agreement as the same may be in effect at the time such reference becomes operative.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Agreement Among Lenders</w:t>
      </w:r>
      <w:r>
        <w:rPr>
          <w:rFonts w:ascii="Times New Roman" w:hAnsi="Times New Roman"/>
          <w:caps w:val="false"/>
          <w:smallCaps w:val="false"/>
          <w:sz w:val="20"/>
        </w:rPr>
        <w:t xml:space="preserve">” means the Agreement Among Lenders, dated as of the date hereof among the Revolving Loan Lenders, the Term Loan A Lenders, the Term Loan B Lenders, the Delayed Draw Term Lenders and the Administrative Agent and the Servicing Agent and acknowledged by the Loan Parties, as in effect on the Effective Date and as may be amended, restated, supplemented or otherwise modified from time to time in accordance with the terms thereof; </w:t>
      </w:r>
      <w:r>
        <w:rPr>
          <w:rFonts w:ascii="Times New Roman" w:hAnsi="Times New Roman"/>
          <w:i/>
          <w:caps w:val="false"/>
          <w:smallCaps w:val="false"/>
          <w:sz w:val="20"/>
        </w:rPr>
        <w:t>provided</w:t>
      </w:r>
      <w:r>
        <w:rPr>
          <w:rFonts w:ascii="Times New Roman" w:hAnsi="Times New Roman"/>
          <w:caps w:val="false"/>
          <w:smallCaps w:val="false"/>
          <w:sz w:val="20"/>
        </w:rPr>
        <w:t xml:space="preserve"> that no Loan Party shall have the right to consent to or approve the Agreement Among Lenders or any amendment, restatement, supplement or other modification of any of the provisions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Amendment No. 2</w:t>
      </w:r>
      <w:r>
        <w:rPr>
          <w:rFonts w:ascii="Times New Roman" w:hAnsi="Times New Roman"/>
          <w:caps w:val="false"/>
          <w:smallCaps w:val="false"/>
          <w:sz w:val="20"/>
        </w:rPr>
        <w:t>” means that certain Amendment No. 2 to Financing Agreement, dated as of the Amendment No. 2 Effective Date, by and among the Loan Parties, the Administrative Agent, the Servicing Agent and the Lenders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Amendment No. 2 Effective Date</w:t>
      </w:r>
      <w:r>
        <w:rPr>
          <w:rFonts w:ascii="Times New Roman" w:hAnsi="Times New Roman"/>
          <w:caps w:val="false"/>
          <w:smallCaps w:val="false"/>
          <w:sz w:val="20"/>
        </w:rPr>
        <w:t>” means December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Amendment No. 2 Supplemental Premium</w:t>
      </w:r>
      <w:r>
        <w:rPr>
          <w:rFonts w:ascii="Times New Roman" w:hAnsi="Times New Roman"/>
          <w:caps w:val="false"/>
          <w:smallCaps w:val="false"/>
          <w:sz w:val="20"/>
        </w:rPr>
        <w:t>” has the meaning specified therefor in Section 2.06(b)(i).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Amendment No. 3</w:t>
      </w:r>
      <w:r>
        <w:rPr>
          <w:rFonts w:ascii="Times New Roman" w:hAnsi="Times New Roman"/>
          <w:caps w:val="false"/>
          <w:smallCaps w:val="false"/>
          <w:sz w:val="20"/>
        </w:rPr>
        <w:t>” means that certain Limited Waiver and Amendment No. 3 to Financing Agreement, dated as of the Amendment No. 3 Effective Date, by and among the Loan Parties, the Administrative Agent, the Servicing Agent and the Lenders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Amendment No. 3 Effective Date</w:t>
      </w:r>
      <w:r>
        <w:rPr>
          <w:rFonts w:ascii="Times New Roman" w:hAnsi="Times New Roman"/>
          <w:caps w:val="false"/>
          <w:smallCaps w:val="false"/>
          <w:sz w:val="20"/>
        </w:rPr>
        <w:t>” means 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Amendment No. 3 Penny Warrants</w:t>
      </w:r>
      <w:r>
        <w:rPr>
          <w:rFonts w:ascii="Times New Roman" w:hAnsi="Times New Roman"/>
          <w:caps w:val="false"/>
          <w:smallCaps w:val="false"/>
          <w:sz w:val="20"/>
        </w:rPr>
        <w:t xml:space="preserve">” means the common stock purchase warrants substantially in the form of </w:t>
      </w:r>
      <w:r>
        <w:rPr>
          <w:rFonts w:ascii="Times New Roman" w:hAnsi="Times New Roman"/>
          <w:caps w:val="false"/>
          <w:smallCaps w:val="false"/>
          <w:sz w:val="20"/>
          <w:u w:val="single"/>
        </w:rPr>
        <w:t>Exhibit O</w:t>
      </w:r>
      <w:r>
        <w:rPr>
          <w:rFonts w:ascii="Times New Roman" w:hAnsi="Times New Roman"/>
          <w:caps w:val="false"/>
          <w:smallCaps w:val="false"/>
          <w:sz w:val="20"/>
        </w:rPr>
        <w:t xml:space="preserve"> hereto, delivered by the Administrative Borrower to each Holder (as defined therein), issued in connection with the consummation of the Amendment No. 3, which entitle the Holders to acquire a number of fully paid and nonassessable shares of common stock of the Administrative Borrower of up to 5.0% of the number of fully diluted shares of the common stock of the Administrative Borrower outstanding measured as of the Amendment No. 3 Effective Date (after giving pro forma effect to the deemed exercise of all warrants, convertible equity or debt, and other instruments that are exercisable for common stock of the Administrative Borrower and are outstanding as of such date), upon payment of the exercise price per share equal to $0.01.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Amendment No. 3 Securities Purchase Agreement</w:t>
      </w:r>
      <w:r>
        <w:rPr>
          <w:rFonts w:ascii="Times New Roman" w:hAnsi="Times New Roman"/>
          <w:caps w:val="false"/>
          <w:smallCaps w:val="false"/>
          <w:sz w:val="20"/>
        </w:rPr>
        <w:t>” means that certain Securities Purchase Agreement, dated as of the Amendment No. 3 Effective Date, by and among Accuray, the Administrative Agent and the Investors (as defined therein)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Amendment No. 3 Supplemental Premium</w:t>
      </w:r>
      <w:r>
        <w:rPr>
          <w:rFonts w:ascii="Times New Roman" w:hAnsi="Times New Roman"/>
          <w:caps w:val="false"/>
          <w:smallCaps w:val="false"/>
          <w:sz w:val="20"/>
        </w:rPr>
        <w:t>” has the meaning specified therefor in Section 2.06(b)(iii).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Anti-Corruption Laws</w:t>
      </w:r>
      <w:r>
        <w:rPr>
          <w:rFonts w:ascii="Times New Roman" w:hAnsi="Times New Roman"/>
          <w:caps w:val="false"/>
          <w:smallCaps w:val="false"/>
          <w:sz w:val="20"/>
        </w:rPr>
        <w:t>” means all applicable Requirements of Law concerning or relating to bribery or corruption, including the United States Foreign Corrupt Practices Act of 1977, as amended, and the rules and regulations thereunder and the U.K. Bribery Act of 2010.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Anti-Money Laundering Laws</w:t>
      </w:r>
      <w:r>
        <w:rPr>
          <w:rFonts w:ascii="Times New Roman" w:hAnsi="Times New Roman"/>
          <w:caps w:val="false"/>
          <w:smallCaps w:val="false"/>
          <w:sz w:val="20"/>
        </w:rPr>
        <w:t>” means all Requirements of Law concerning or relating to terrorism or money laundering, including the USA PATRIOT Act and the Currency and Foreign Transactions Reporting Act (also known as the “Bank Secrecy Act,” 31 U.S.C. §§ 5311-5336 and 12 U.S.C. §§ 1818(s), 1820(b), 1829b and §§ 1951-1960),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Applicable PIK Amount</w:t>
      </w:r>
      <w:r>
        <w:rPr>
          <w:rFonts w:ascii="Times New Roman" w:hAnsi="Times New Roman"/>
          <w:caps w:val="false"/>
          <w:smallCaps w:val="false"/>
          <w:sz w:val="20"/>
        </w:rPr>
        <w:t>” means a rate not to exceed 6.00% per annum, which shall be specified by the Administrative Borrower in any PIK Notice in accordance with Section 2.04(d); provided that any Applicable PIK Amount shall only be electable in increments of 1.00%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Applicable Premium</w:t>
      </w:r>
      <w:r>
        <w:rPr>
          <w:rFonts w:ascii="Times New Roman" w:hAnsi="Times New Roman"/>
          <w:caps w:val="false"/>
          <w:smallCaps w:val="false"/>
          <w:sz w:val="20"/>
        </w:rPr>
        <w:t>” has the meaning specified therefor in Section 2.06(a).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Applicable Premium Trigger Event</w:t>
      </w:r>
      <w:r>
        <w:rPr>
          <w:rFonts w:ascii="Times New Roman" w:hAnsi="Times New Roman"/>
          <w:caps w:val="false"/>
          <w:smallCaps w:val="false"/>
          <w:sz w:val="20"/>
        </w:rPr>
        <w:t>” has the meaning specified therefor in Section 2.06(a).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Applicable Margin</w:t>
      </w:r>
      <w:r>
        <w:rPr>
          <w:rFonts w:ascii="Times New Roman" w:hAnsi="Times New Roman"/>
          <w:caps w:val="false"/>
          <w:smallCaps w:val="false"/>
          <w:sz w:val="20"/>
        </w:rPr>
        <w:t xml:space="preserve">” means, as of any date of determination, with respect to the interest rate of the Terms Loans or Revolving Loans (or, in each case, any portion thereof) (a) that is a Reference Rate Loan, 7.50% or (b) that is a SOFR Loan, 8.50%; </w:t>
      </w:r>
      <w:r>
        <w:rPr>
          <w:rFonts w:ascii="Times New Roman" w:hAnsi="Times New Roman"/>
          <w:caps w:val="false"/>
          <w:smallCaps w:val="false"/>
          <w:sz w:val="20"/>
          <w:u w:val="single"/>
        </w:rPr>
        <w:t>provided</w:t>
      </w:r>
      <w:r>
        <w:rPr>
          <w:rFonts w:ascii="Times New Roman" w:hAnsi="Times New Roman"/>
          <w:caps w:val="false"/>
          <w:smallCaps w:val="false"/>
          <w:sz w:val="20"/>
        </w:rPr>
        <w:t>, that, if a PIK Election has been made with respect to any Interest Period, then the Applicable Margin shall be increased as follows:</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7" w:type="dxa"/>
        <w:tblLayout w:type="fixed"/>
        <w:tblCellMar>
          <w:top w:w="28" w:type="dxa"/>
          <w:left w:w="28" w:type="dxa"/>
          <w:bottom w:w="28" w:type="dxa"/>
          <w:right w:w="28" w:type="dxa"/>
        </w:tblCellMar>
      </w:tblPr>
      <w:tblGrid>
        <w:gridCol w:w="4250"/>
        <w:gridCol w:w="2405"/>
      </w:tblGrid>
      <w:tr>
        <w:trPr/>
        <w:tc>
          <w:tcPr>
            <w:tcW w:w="425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Applicable PIK Amount as specified in PIK Notice</w:t>
            </w:r>
          </w:p>
        </w:tc>
        <w:tc>
          <w:tcPr>
            <w:tcW w:w="240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Applicable Margin Increase</w:t>
            </w:r>
          </w:p>
        </w:tc>
      </w:tr>
      <w:tr>
        <w:trPr/>
        <w:tc>
          <w:tcPr>
            <w:tcW w:w="42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c>
          <w:tcPr>
            <w:tcW w:w="24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0.3334%</w:t>
            </w:r>
          </w:p>
        </w:tc>
      </w:tr>
      <w:tr>
        <w:trPr/>
        <w:tc>
          <w:tcPr>
            <w:tcW w:w="42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2.00%</w:t>
            </w:r>
          </w:p>
        </w:tc>
        <w:tc>
          <w:tcPr>
            <w:tcW w:w="24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0.6667%</w:t>
            </w:r>
          </w:p>
        </w:tc>
      </w:tr>
      <w:tr>
        <w:trPr/>
        <w:tc>
          <w:tcPr>
            <w:tcW w:w="42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3.00%</w:t>
            </w:r>
          </w:p>
        </w:tc>
        <w:tc>
          <w:tcPr>
            <w:tcW w:w="24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r>
      <w:tr>
        <w:trPr/>
        <w:tc>
          <w:tcPr>
            <w:tcW w:w="42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4.00%</w:t>
            </w:r>
          </w:p>
        </w:tc>
        <w:tc>
          <w:tcPr>
            <w:tcW w:w="24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1.3334%</w:t>
            </w:r>
          </w:p>
        </w:tc>
      </w:tr>
      <w:tr>
        <w:trPr/>
        <w:tc>
          <w:tcPr>
            <w:tcW w:w="42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5.00%</w:t>
            </w:r>
          </w:p>
        </w:tc>
        <w:tc>
          <w:tcPr>
            <w:tcW w:w="24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1.6667%</w:t>
            </w:r>
          </w:p>
        </w:tc>
      </w:tr>
      <w:tr>
        <w:trPr/>
        <w:tc>
          <w:tcPr>
            <w:tcW w:w="42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6.00%</w:t>
            </w:r>
          </w:p>
        </w:tc>
        <w:tc>
          <w:tcPr>
            <w:tcW w:w="24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Article 55 BRRD</w:t>
      </w:r>
      <w:r>
        <w:rPr>
          <w:rFonts w:ascii="Times New Roman" w:hAnsi="Times New Roman"/>
          <w:caps w:val="false"/>
          <w:smallCaps w:val="false"/>
          <w:sz w:val="20"/>
        </w:rPr>
        <w:t>” means Article 55 of Directive 2014/59/EU establishing a framework for the recovery and resolution of credit institutions and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Assignment and Acceptance</w:t>
      </w:r>
      <w:r>
        <w:rPr>
          <w:rFonts w:ascii="Times New Roman" w:hAnsi="Times New Roman"/>
          <w:caps w:val="false"/>
          <w:smallCaps w:val="false"/>
          <w:sz w:val="20"/>
        </w:rPr>
        <w:t xml:space="preserve">” means an assignment and acceptance entered into by an assigning Lender and an assignee, and accepted by the Administrative Agent (or the Servicing Agent, if applicable), in accordance with </w:t>
      </w:r>
      <w:r>
        <w:rPr>
          <w:rFonts w:ascii="Times New Roman" w:hAnsi="Times New Roman"/>
          <w:caps w:val="false"/>
          <w:smallCaps w:val="false"/>
          <w:sz w:val="20"/>
          <w:u w:val="single"/>
        </w:rPr>
        <w:t>Section 12.07</w:t>
      </w:r>
      <w:r>
        <w:rPr>
          <w:rFonts w:ascii="Times New Roman" w:hAnsi="Times New Roman"/>
          <w:caps w:val="false"/>
          <w:smallCaps w:val="false"/>
          <w:sz w:val="20"/>
        </w:rPr>
        <w:t xml:space="preserve"> hereof and substantially in the form of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hereto or such other form reasonably acceptable to the Administrative Agent (or the Servicing Agent,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Authorized Officer</w:t>
      </w:r>
      <w:r>
        <w:rPr>
          <w:rFonts w:ascii="Times New Roman" w:hAnsi="Times New Roman"/>
          <w:caps w:val="false"/>
          <w:smallCaps w:val="false"/>
          <w:sz w:val="20"/>
        </w:rPr>
        <w:t>” means, with respect to any Person, the chief executive officer, chief operating officer, chief financial officer, treasurer or other financial officer performing similar functions, president or vice president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Availability</w:t>
      </w:r>
      <w:r>
        <w:rPr>
          <w:rFonts w:ascii="Times New Roman" w:hAnsi="Times New Roman"/>
          <w:caps w:val="false"/>
          <w:smallCaps w:val="false"/>
          <w:sz w:val="20"/>
        </w:rPr>
        <w:t>” means, at any time, the difference between (a) the lesser of (i) the Borrowing Base and (ii) the Total Revolving Credit Commitment and (b) the aggregate outstanding principal amount of all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Available Tenor</w:t>
      </w:r>
      <w:r>
        <w:rPr>
          <w:rFonts w:ascii="Times New Roman" w:hAnsi="Times New Roman"/>
          <w:caps w:val="false"/>
          <w:smallCaps w:val="false"/>
          <w:sz w:val="20"/>
        </w:rPr>
        <w:t>” means, as of any date of determination and with respect to the then-current Benchmark, as applicable, (a) if the then-current Benchmark is a term rate, any tenor for such Benchmark that is or may be used for determining the length of an Interest Period or (b) otherwise, any payment period for interest calculated with reference to such Benchmark, as applicable, pursuant to this Agreement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Bail-In Action</w:t>
      </w:r>
      <w:r>
        <w:rPr>
          <w:rFonts w:ascii="Times New Roman" w:hAnsi="Times New Roman"/>
          <w:caps w:val="false"/>
          <w:smallCaps w:val="false"/>
          <w:sz w:val="20"/>
        </w:rPr>
        <w:t>” means the exercise of any Write-Down and Conversion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Bail-In Legislation</w:t>
      </w:r>
      <w:r>
        <w:rPr>
          <w:rFonts w:ascii="Times New Roman" w:hAnsi="Times New Roman"/>
          <w:caps w:val="false"/>
          <w:smallCaps w:val="false"/>
          <w:sz w:val="20"/>
        </w:rPr>
        <w:t>” means (i) in relation to an EEA Member Country which has implemented, or which at any time implements, Article 55 BRRD, the relevant implementing law or regulation as described in the EU Bail-In Legislation Schedule from time to time; (ii) in relation to the United Kingdom, the UK Bail-In Legislation; and (iii) in relation to any state other than such an EEA Member Country and the United Kingdom, any analogous law or regulation from time to time which requires contractual recognition of any Write-down and Conversion Powers contained in that law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Bankruptcy Code</w:t>
      </w:r>
      <w:r>
        <w:rPr>
          <w:rFonts w:ascii="Times New Roman" w:hAnsi="Times New Roman"/>
          <w:caps w:val="false"/>
          <w:smallCaps w:val="false"/>
          <w:sz w:val="20"/>
        </w:rPr>
        <w:t>” means Title 11 of the United States Code, as amended from time to time and any successor statute or any similar federal or state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Beneficial Ownership Certification</w:t>
      </w:r>
      <w:r>
        <w:rPr>
          <w:rFonts w:ascii="Times New Roman" w:hAnsi="Times New Roman"/>
          <w:caps w:val="false"/>
          <w:smallCaps w:val="false"/>
          <w:sz w:val="20"/>
        </w:rPr>
        <w:t>” means a certification regarding beneficial ownership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Beneficial Ownership Regulation</w:t>
      </w:r>
      <w:r>
        <w:rPr>
          <w:rFonts w:ascii="Times New Roman" w:hAnsi="Times New Roman"/>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Benchmark</w:t>
      </w:r>
      <w:r>
        <w:rPr>
          <w:rFonts w:ascii="Times New Roman" w:hAnsi="Times New Roman"/>
          <w:caps w:val="false"/>
          <w:smallCaps w:val="false"/>
          <w:sz w:val="20"/>
        </w:rPr>
        <w:t xml:space="preserve">” means, initially, the Term SOFR Reference Rate;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 Benchmark Transition Event has occurred with respect to the Term SOFR Reference Rate or the then-current Benchmark, then “</w:t>
      </w:r>
      <w:r>
        <w:rPr>
          <w:rFonts w:ascii="Times New Roman" w:hAnsi="Times New Roman"/>
          <w:caps w:val="false"/>
          <w:smallCaps w:val="false"/>
          <w:sz w:val="20"/>
          <w:u w:val="single"/>
        </w:rPr>
        <w:t>Benchmark</w:t>
      </w:r>
      <w:r>
        <w:rPr>
          <w:rFonts w:ascii="Times New Roman" w:hAnsi="Times New Roman"/>
          <w:caps w:val="false"/>
          <w:smallCaps w:val="false"/>
          <w:sz w:val="20"/>
        </w:rPr>
        <w:t xml:space="preserve">” means the applicable Benchmark Replacement to the extent that such Benchmark Replacement has replaced such prior benchmark rate pursuant to </w:t>
      </w:r>
      <w:r>
        <w:rPr>
          <w:rFonts w:ascii="Times New Roman" w:hAnsi="Times New Roman"/>
          <w:caps w:val="false"/>
          <w:smallCaps w:val="false"/>
          <w:sz w:val="20"/>
          <w:u w:val="single"/>
        </w:rPr>
        <w:t>Section 2.07(h)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Benchmark Replacement</w:t>
      </w:r>
      <w:r>
        <w:rPr>
          <w:rFonts w:ascii="Times New Roman" w:hAnsi="Times New Roman"/>
          <w:caps w:val="false"/>
          <w:smallCaps w:val="false"/>
          <w:sz w:val="20"/>
        </w:rPr>
        <w:t xml:space="preserve">” means, with respect to any Benchmark Transition Event, the sum of: (a) the alternate benchmark rate that has been selected by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such Benchmark Replacement as so determined would be less than the Floor, such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Benchmark Replacement Adjustment</w:t>
      </w:r>
      <w:r>
        <w:rPr>
          <w:rFonts w:ascii="Times New Roman" w:hAnsi="Times New Roman"/>
          <w:caps w:val="false"/>
          <w:smallCaps w:val="false"/>
          <w:sz w:val="20"/>
        </w:rPr>
        <w:t>” means, with respect to any replacement of the then-current Benchmark with an Unadjusted Benchmark Replacement, the spread adjustment for each applicable Interest Period, or method for calculating or determining such spread adjustment, (which may be a positive or negative value or zero) that has been selected by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u w:val="single"/>
        </w:rPr>
        <w:t>“</w:t>
      </w:r>
      <w:r>
        <w:rPr>
          <w:rFonts w:ascii="Times New Roman" w:hAnsi="Times New Roman"/>
          <w:caps w:val="false"/>
          <w:smallCaps w:val="false"/>
          <w:sz w:val="20"/>
          <w:u w:val="single"/>
        </w:rPr>
        <w:t>Benchmark Replacement Date</w:t>
      </w:r>
      <w:r>
        <w:rPr>
          <w:rFonts w:ascii="Times New Roman" w:hAnsi="Times New Roman"/>
          <w:caps w:val="false"/>
          <w:smallCaps w:val="false"/>
          <w:sz w:val="20"/>
        </w:rPr>
        <w:t>” means the earliest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900"/>
        <w:jc w:val="both"/>
        <w:rPr>
          <w:rFonts w:ascii="Times New Roman" w:hAnsi="Times New Roman"/>
          <w:caps w:val="false"/>
          <w:smallCaps w:val="false"/>
          <w:sz w:val="20"/>
        </w:rPr>
      </w:pPr>
      <w:r>
        <w:rPr>
          <w:rFonts w:ascii="Times New Roman" w:hAnsi="Times New Roman"/>
          <w:caps w:val="false"/>
          <w:smallCaps w:val="false"/>
          <w:sz w:val="20"/>
        </w:rPr>
        <w:t>(a)         in the case of clause (a) or (b) of the definition of “Benchmark Transition Event,” the later of (1) the date of the public statement or publication of information referenced therein and (2)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900"/>
        <w:jc w:val="both"/>
        <w:rPr>
          <w:rFonts w:ascii="Times New Roman" w:hAnsi="Times New Roman"/>
          <w:caps w:val="false"/>
          <w:smallCaps w:val="false"/>
          <w:sz w:val="20"/>
        </w:rPr>
      </w:pPr>
      <w:r>
        <w:rPr>
          <w:rFonts w:ascii="Times New Roman" w:hAnsi="Times New Roman"/>
          <w:caps w:val="false"/>
          <w:smallCaps w:val="false"/>
          <w:sz w:val="20"/>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Benchmark Transition Event</w:t>
      </w:r>
      <w:r>
        <w:rPr>
          <w:rFonts w:ascii="Times New Roman" w:hAnsi="Times New Roman"/>
          <w:caps w:val="false"/>
          <w:smallCaps w:val="false"/>
          <w:sz w:val="20"/>
        </w:rPr>
        <w:t>”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avoidance of doubt, a “</w:t>
      </w:r>
      <w:r>
        <w:rPr>
          <w:rFonts w:ascii="Times New Roman" w:hAnsi="Times New Roman"/>
          <w:caps w:val="false"/>
          <w:smallCaps w:val="false"/>
          <w:sz w:val="20"/>
          <w:u w:val="single"/>
        </w:rPr>
        <w:t>Benchmark Transition Event</w:t>
      </w:r>
      <w:r>
        <w:rPr>
          <w:rFonts w:ascii="Times New Roman" w:hAnsi="Times New Roman"/>
          <w:caps w:val="false"/>
          <w:smallCaps w:val="false"/>
          <w:sz w:val="20"/>
        </w:rPr>
        <w: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Benchmark Transition Start Date</w:t>
      </w:r>
      <w:r>
        <w:rPr>
          <w:rFonts w:ascii="Times New Roman" w:hAnsi="Times New Roman"/>
          <w:caps w:val="false"/>
          <w:smallCaps w:val="false"/>
          <w:sz w:val="20"/>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Benchmark Unavailability Period</w:t>
      </w:r>
      <w:r>
        <w:rPr>
          <w:rFonts w:ascii="Times New Roman" w:hAnsi="Times New Roman"/>
          <w:caps w:val="false"/>
          <w:smallCaps w:val="false"/>
          <w:sz w:val="20"/>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hAnsi="Times New Roman"/>
          <w:caps w:val="false"/>
          <w:smallCaps w:val="false"/>
          <w:sz w:val="20"/>
          <w:u w:val="single"/>
        </w:rPr>
        <w:t>Section 2.07(h)</w:t>
      </w:r>
      <w:r>
        <w:rPr>
          <w:rFonts w:ascii="Times New Roman" w:hAnsi="Times New Roman"/>
          <w:caps w:val="false"/>
          <w:smallCaps w:val="false"/>
          <w:sz w:val="20"/>
        </w:rPr>
        <w:t xml:space="preserve"> and (b) ending at the time that a Benchmark Replacement has replaced the then-current Benchmark for all purposes hereunder and under any Loan Document in accordance with this </w:t>
      </w:r>
      <w:r>
        <w:rPr>
          <w:rFonts w:ascii="Times New Roman" w:hAnsi="Times New Roman"/>
          <w:caps w:val="false"/>
          <w:smallCaps w:val="false"/>
          <w:sz w:val="20"/>
          <w:u w:val="single"/>
        </w:rPr>
        <w:t>Section 2.07(h)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Board</w:t>
      </w:r>
      <w:r>
        <w:rPr>
          <w:rFonts w:ascii="Times New Roman" w:hAnsi="Times New Roman"/>
          <w:caps w:val="false"/>
          <w:smallCaps w:val="false"/>
          <w:sz w:val="20"/>
        </w:rPr>
        <w:t>” means the Board of Governors of the Federal Reserve System of the United States (or any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Board of Directors</w:t>
      </w:r>
      <w:r>
        <w:rPr>
          <w:rFonts w:ascii="Times New Roman" w:hAnsi="Times New Roman"/>
          <w:caps w:val="false"/>
          <w:smallCaps w:val="false"/>
          <w:sz w:val="20"/>
        </w:rPr>
        <w:t>” means with respect to (a) any corporation, the board of directors of the corporation or any committee thereof duly authorized to act on behalf of such board, (b) a partnership, the board of directors of the general partner of the partnership, (c) a limited liability company, the managing member or members or any controlling committee or board of directors of such company or the sole member or the managing member thereof, and (d) any other Person, the board or committee of such Person serving a similar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Borrower</w:t>
      </w:r>
      <w:r>
        <w:rPr>
          <w:rFonts w:ascii="Times New Roman" w:hAnsi="Times New Roman"/>
          <w:caps w:val="false"/>
          <w:smallCaps w:val="false"/>
          <w:sz w:val="20"/>
        </w:rPr>
        <w:t>” has the meaning specified therefor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Borrowing</w:t>
      </w:r>
      <w:r>
        <w:rPr>
          <w:rFonts w:ascii="Times New Roman" w:hAnsi="Times New Roman"/>
          <w:caps w:val="false"/>
          <w:smallCaps w:val="false"/>
          <w:sz w:val="20"/>
        </w:rPr>
        <w:t>” means a Revolving Credit Borrowing or a Term Borrowing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Borrowing Base</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from the Amendment No. 3 Effective Date until the Borrowing Base Reset Date, the sum of (i) 80% of the net book value of all Accounts of the Loan Parties, plus (ii) 50% of the net book value of all Inventory of the Loan Parties, less (iii) Reserves established by the Servicing Agent, provided that notwithstanding the foregoing, the Borrowing Base shall be deemed to be $30,000,000 during such period even if the result of the foregoing calculation is less than $30,000,000;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thereafter, on any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the sum of (x) the U.S. Borrowing Base plus (y) the Non-U.S. Borrowing Base,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Reserves established by the Servicing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Borrowing Base Certificate</w:t>
      </w:r>
      <w:r>
        <w:rPr>
          <w:rFonts w:ascii="Times New Roman" w:hAnsi="Times New Roman"/>
          <w:caps w:val="false"/>
          <w:smallCaps w:val="false"/>
          <w:sz w:val="20"/>
        </w:rPr>
        <w:t>” means a certificate signed by an Authorized Officer of the Administrative Borrower and setting forth the calculation of the Borrowing Base in compliance with Section 7.01(a)(vi), substantially in the form of Exhibit G (or such other form as the Servicing Agent and the Administrative Borrower shall agree), appropriately completed, by which such officer shall certify to the Servicing Agent the amount of the Borrowing Base and calculation thereof as of the date of such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Borrowing Base Parties</w:t>
      </w:r>
      <w:r>
        <w:rPr>
          <w:rFonts w:ascii="Times New Roman" w:hAnsi="Times New Roman"/>
          <w:caps w:val="false"/>
          <w:smallCaps w:val="false"/>
          <w:sz w:val="20"/>
        </w:rPr>
        <w:t>” means, collectively, the Loan Parties and each Subsidiary of a Loan Party organized under the laws of Japan or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Borrowing Base Reset Date</w:t>
      </w:r>
      <w:r>
        <w:rPr>
          <w:rFonts w:ascii="Times New Roman" w:hAnsi="Times New Roman"/>
          <w:caps w:val="false"/>
          <w:smallCaps w:val="false"/>
          <w:sz w:val="20"/>
        </w:rPr>
        <w:t>” means October 12, 2026 (or such later date as the Servicing Agent may agree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Business Day</w:t>
      </w:r>
      <w:r>
        <w:rPr>
          <w:rFonts w:ascii="Times New Roman" w:hAnsi="Times New Roman"/>
          <w:caps w:val="false"/>
          <w:smallCaps w:val="false"/>
          <w:sz w:val="20"/>
        </w:rPr>
        <w:t>” means any day that is not a Saturday, Sunday, or other day on which banks are authorized or required to close in New York, except that, if a determination of a Business Day shall relate to a SOFR Loan, the term “Business Day” also shall exclude any day that is not a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Capital Expenditures</w:t>
      </w:r>
      <w:r>
        <w:rPr>
          <w:rFonts w:ascii="Times New Roman" w:hAnsi="Times New Roman"/>
          <w:caps w:val="false"/>
          <w:smallCaps w:val="false"/>
          <w:sz w:val="20"/>
        </w:rPr>
        <w:t xml:space="preserve">” means, with respect to any Person for any period, the sum of (a) the aggregate of all expenditures by such Person and its Subsidiaries during such period that in accordance with GAAP (other than as a result of purchase accounting) are or should be classified as capital expenditures, whether such expenditures are paid in cash or financed, including all Capitalized Lease Obligations; </w:t>
      </w:r>
      <w:r>
        <w:rPr>
          <w:rFonts w:ascii="Times New Roman" w:hAnsi="Times New Roman"/>
          <w:caps w:val="false"/>
          <w:smallCaps w:val="false"/>
          <w:sz w:val="20"/>
          <w:u w:val="single"/>
        </w:rPr>
        <w:t>provided</w:t>
      </w:r>
      <w:r>
        <w:rPr>
          <w:rFonts w:ascii="Times New Roman" w:hAnsi="Times New Roman"/>
          <w:caps w:val="false"/>
          <w:smallCaps w:val="false"/>
          <w:sz w:val="20"/>
        </w:rPr>
        <w:t>, that the term “Capital Expenditures” shall not include any such expenditures which constitute (i) expenditures by a Loan Party or a Subsidiary made in connection with the replacement, substitution, restoration or acquisition of assets by such Loan Party or Subsidiary pursuant to Section 2.05(c)(v) with the Net Cash Proceeds of Dispositions or the receipt of Extraordinary Receipts consisting of insurance proceeds or condemnation awards, (ii) expenditures financed with the proceeds received from the sale or issuance of Equity Interests or capital contributions, (iii) a Permitted Acquisition or other Investment constituting an Acquisition, (iv) expenditures that are accounted for as capital expenditures of such Person and that actually are paid for by a third party (excluding any Loan Party or Subsidiary), and (v) the purchase price of equipment that is purchased within 10 Business Days of the trade in of existing equipment to the extent that the gross amount of such purchase price is reduced by the credit granted by the seller of such equipment for the equipment being traded in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Capitalized Lease</w:t>
      </w:r>
      <w:r>
        <w:rPr>
          <w:rFonts w:ascii="Times New Roman" w:hAnsi="Times New Roman"/>
          <w:caps w:val="false"/>
          <w:smallCaps w:val="false"/>
          <w:sz w:val="20"/>
        </w:rPr>
        <w:t>” means, with respect to any Person, any lease of (or other arrangement conveying the right to use) real or personal property by such Person as lessee that is required under GAAP to be capitalized on the balance sheet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Capitalized Lease Obligations</w:t>
      </w:r>
      <w:r>
        <w:rPr>
          <w:rFonts w:ascii="Times New Roman" w:hAnsi="Times New Roman"/>
          <w:caps w:val="false"/>
          <w:smallCaps w:val="false"/>
          <w:sz w:val="20"/>
        </w:rPr>
        <w:t>” means, with respect to any Person, obligations of such Person and its Subsidiaries under Capitalized Leases, and, for purposes hereof, the amount of any such obligation shall be the capitalized amount thereof determined in accordance with GAAP (excluding, for the avoidance of doubt, Non-Financing Lease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Cash Equivalents</w:t>
      </w:r>
      <w:r>
        <w:rPr>
          <w:rFonts w:ascii="Times New Roman" w:hAnsi="Times New Roman"/>
          <w:caps w:val="false"/>
          <w:smallCaps w:val="false"/>
          <w:sz w:val="20"/>
        </w:rPr>
        <w:t>” means (a) marketable direct obligations issued or unconditionally guaranteed by the United States Government or issued by any agency thereof and backed by the full faith and credit of the United States, in each case, maturing within 12 months from the date of acquisition thereof; (b) commercial paper, maturing not more than 365 days after the date of issue rated P-2 by Moody’s or A-2 by Standard &amp; Poor’s; (c) certificates of deposit maturing not more than 365 days after the date of issue, issued by commercial banking institutions and money market or demand deposit accounts maintained at commercial banking institutions, each of which is a member of the Federal Reserve System and has a combined capital and surplus and undivided profits of not less than $500,000,000; (d) repurchase agreements having maturities of not more than 90 days from the date of acquisition which are entered into with major money center banks included in the commercial banking institutions described in clause (c) above and which are secured by readily marketable direct obligations of the United States Government or any agency thereof; (e) money market accounts maintained with mutual funds having assets in excess of $2,500,000,000, which assets are primarily comprised of Cash Equivalents described in another clause of this definition; (f) marketable tax exempt securities rated A or higher by Moody’s or A+ or higher by Standard &amp; Poor’s, in each case, maturing within 270 days from the date of acquisition thereof; and (g) solely in the case of and with respect to a Foreign Subsidiary, Investments of a kind or type similar to the Cash Equivalents described in clauses (a) through (f) above customarily utilized in the jurisdiction of organization of such Foreign Subsidiary for cash management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Cash Management Accounts</w:t>
      </w:r>
      <w:r>
        <w:rPr>
          <w:rFonts w:ascii="Times New Roman" w:hAnsi="Times New Roman"/>
          <w:caps w:val="false"/>
          <w:smallCaps w:val="false"/>
          <w:sz w:val="20"/>
        </w:rPr>
        <w:t>” means the bank accounts of each Loan Party maintained at one or more Cash Management Banks listed on Schedule 8.01 (as amended from time to time in accordance with the terms of Section 8.01(d)). The Cash Management Accounts shall not include any Excluded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Cash Management Bank</w:t>
      </w:r>
      <w:r>
        <w:rPr>
          <w:rFonts w:ascii="Times New Roman" w:hAnsi="Times New Roman"/>
          <w:caps w:val="false"/>
          <w:smallCaps w:val="false"/>
          <w:sz w:val="20"/>
        </w:rPr>
        <w:t>” has the meaning specified therefor in Section 8.01(a).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Change in Law</w:t>
      </w:r>
      <w:r>
        <w:rPr>
          <w:rFonts w:ascii="Times New Roman" w:hAnsi="Times New Roman"/>
          <w:caps w:val="false"/>
          <w:smallCaps w:val="false"/>
          <w:sz w:val="20"/>
        </w:rPr>
        <w:t xml:space="preserve">” means the occurrence, after the date of this Agreement, of any of the following: (a) the adoption or taking effect of any law, rule, regulation, judicial ruling, judgment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“Change in Law”,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Change of Control</w:t>
      </w:r>
      <w:r>
        <w:rPr>
          <w:rFonts w:ascii="Times New Roman" w:hAnsi="Times New Roman"/>
          <w:caps w:val="false"/>
          <w:smallCaps w:val="false"/>
          <w:sz w:val="20"/>
        </w:rPr>
        <w:t>” means each occurrence of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other than in connection with the exercise of any conversion or exercise rights in respect of the Equity Interests issued pursuant to the Amendment No. 3 Securities Purchase Agreement,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35% or more of the ordinary voting power for the election of directors of the Administrative Borrower (determined on a fully diluted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Administrative Borrower shall cease to have beneficial ownership (as defined in Rules 13(d)-3 and 13(d)-5 under the Exchange Act) of 100% of the aggregate voting or economic power of the Equity Interests of each other Loan Party and each of its Subsidiaries (other than in connection with any transaction permitted pursuant to Section 7.02(c)(i)), free and clear of all Liens (other than Permitted Specified Liens);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 “change of control,” “fundamental change” or any comparable term or similar event under the Existing Indenture, Existing Notes, or any other agreement governing any Indebtedness of the Loan Parties in an aggregate principal amount in excess of $5,000,000 that permits the holder of such Indebtedness to require the repayment, redemption, purchase, retirement, defeasance, sinking fund, settlement, conversion or similar payment with respect to all or a portion of the principal amount thereof prior to the scheduled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Chinese Joint Venture</w:t>
      </w:r>
      <w:r>
        <w:rPr>
          <w:rFonts w:ascii="Times New Roman" w:hAnsi="Times New Roman"/>
          <w:caps w:val="false"/>
          <w:smallCaps w:val="false"/>
          <w:sz w:val="20"/>
        </w:rPr>
        <w:t>” means CNNC Accuray (Tianjin) Medical Technology Co., Ltd., a registered limited liability company established as an equity joint venture under the Laws of the PRC by (a) CNNC High Energy Equipment (Tianjin) Co., Ltd., a limited liability company organized and existing under the Laws of the PRC with 51% of the registered capital and (b) the Hong Kong Guarantor, with 49% of the registered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Collateral</w:t>
      </w:r>
      <w:r>
        <w:rPr>
          <w:rFonts w:ascii="Times New Roman" w:hAnsi="Times New Roman"/>
          <w:caps w:val="false"/>
          <w:smallCaps w:val="false"/>
          <w:sz w:val="20"/>
        </w:rPr>
        <w:t>” means all of the property and assets and all interests therein and proceeds thereof now owned or hereafter acquired by any Loan Party upon which a Lien is granted or purported to be granted by such Loan Party as security for all or any part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Collateral Agent</w:t>
      </w:r>
      <w:r>
        <w:rPr>
          <w:rFonts w:ascii="Times New Roman" w:hAnsi="Times New Roman"/>
          <w:caps w:val="false"/>
          <w:smallCaps w:val="false"/>
          <w:sz w:val="20"/>
        </w:rPr>
        <w:t>” has the meaning specified therefor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Collateral Agent Advances</w:t>
      </w:r>
      <w:r>
        <w:rPr>
          <w:rFonts w:ascii="Times New Roman" w:hAnsi="Times New Roman"/>
          <w:caps w:val="false"/>
          <w:smallCaps w:val="false"/>
          <w:sz w:val="20"/>
        </w:rPr>
        <w:t>” has the meaning specified therefor in Section 10.08(a).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Collections</w:t>
      </w:r>
      <w:r>
        <w:rPr>
          <w:rFonts w:ascii="Times New Roman" w:hAnsi="Times New Roman"/>
          <w:caps w:val="false"/>
          <w:smallCaps w:val="false"/>
          <w:sz w:val="20"/>
        </w:rPr>
        <w:t>” means all cash, checks, notes, instruments, and other items of payment (including insurance proceeds, proceeds of cash sales, rental proceeds, and tax refunds).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Commitments</w:t>
      </w:r>
      <w:r>
        <w:rPr>
          <w:rFonts w:ascii="Times New Roman" w:hAnsi="Times New Roman"/>
          <w:caps w:val="false"/>
          <w:smallCaps w:val="false"/>
          <w:sz w:val="20"/>
        </w:rPr>
        <w:t>” means, with respect to each Lender, such Lender’s Term Loan Commitment and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Commodity Exchange Act</w:t>
      </w:r>
      <w:r>
        <w:rPr>
          <w:rFonts w:ascii="Times New Roman" w:hAnsi="Times New Roman"/>
          <w:caps w:val="false"/>
          <w:smallCaps w:val="false"/>
          <w:sz w:val="20"/>
        </w:rPr>
        <w:t>” means the Commodity Exchange Act (7 U.S.C. § 1 et seq.),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Competitor</w:t>
      </w:r>
      <w:r>
        <w:rPr>
          <w:rFonts w:ascii="Times New Roman" w:hAnsi="Times New Roman"/>
          <w:caps w:val="false"/>
          <w:smallCaps w:val="false"/>
          <w:sz w:val="20"/>
        </w:rPr>
        <w:t>” means, on any date, a Person that is (a) an operating company identified in writing to the Agents on or prior to the Effective Date that is engaged primarily in substantially the same or similar business as the Loan Parties, (b) a private equity sponsor identified in writing to the Agents prior to the Effective Date that controls an operating company that is engaged primarily in substantially the same business as the Loan Parties, or (c) any other Person that is engaged primarily in substantially the same or similar business as the Loan Parties, which Person has been designated by the Borrower as a “Competitor” by written notice to the Agents not less than 5 Business Days prior to such date and the Administrative Agent and the Servicing Agent have accepted such designation in their reasonable discretion. Notwithstanding anything to the contrary contained in this Agreement, (i) the Administrative Agent and the Servicing Agent shall not be responsible or have any liability for, or have any duty to ascertain, inquire into, monitor or enforce, compliance with the provisions hereof relating to Competitors and (ii) the Borrowers (on behalf of themselves and the other Loan Parties) and the Lenders acknowledge and agree that the Administrative Agent and the Servicing Agent shall have no responsibility or obligation to determine whether any Lender or potential Lender is a Competitor and that the Administrative Agent and the Servicing Agent shall have no liability with respect to any assignment or participation made to a Competitor.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Compliance Certificate</w:t>
      </w:r>
      <w:r>
        <w:rPr>
          <w:rFonts w:ascii="Times New Roman" w:hAnsi="Times New Roman"/>
          <w:caps w:val="false"/>
          <w:smallCaps w:val="false"/>
          <w:sz w:val="20"/>
        </w:rPr>
        <w:t>” has the meaning assigned to such term in Section 7.01(a)(iv).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Conforming Changes</w:t>
      </w:r>
      <w:r>
        <w:rPr>
          <w:rFonts w:ascii="Times New Roman" w:hAnsi="Times New Roman"/>
          <w:caps w:val="false"/>
          <w:smallCaps w:val="false"/>
          <w:sz w:val="20"/>
        </w:rPr>
        <w:t>” means, with respect to either the use or administration of Term SOFR or the use, administration, adoption or implementation of any Benchmark Replacement, any technical, administrative or operational changes (including changes to the definition of “Business Day,” the definition of “Interest Period” or any similar or analogous definition (or the addition of a concept of “</w:t>
      </w:r>
      <w:r>
        <w:rPr>
          <w:rFonts w:ascii="Times New Roman" w:hAnsi="Times New Roman"/>
          <w:caps w:val="false"/>
          <w:smallCaps w:val="false"/>
          <w:sz w:val="20"/>
          <w:u w:val="single"/>
        </w:rPr>
        <w:t>interest period</w:t>
      </w:r>
      <w:r>
        <w:rPr>
          <w:rFonts w:ascii="Times New Roman" w:hAnsi="Times New Roman"/>
          <w:caps w:val="false"/>
          <w:smallCaps w:val="false"/>
          <w:sz w:val="20"/>
        </w:rPr>
        <w:t>”), timing and frequency of determining rates and making payments of interest, timing of borrowing requests or prepayment, conversion or continuation notices, the applicability and length of lookback periods and other technical, administrative or operational matters) that Administrative Agent decides may be appropriate to reflect the adoption and implementation of any such rate or to permit the use and administration thereof by Administrative Agent in a manner substantially consistent with market practice (or, if Administrative Agent decides that adoption of any portion of such market practice is not administratively feasible or if Administrative Agent determines that no market practice for the administration of any such rate exists, in such other manner of administration as Administrative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Consolidated EBITDA</w:t>
      </w:r>
      <w:r>
        <w:rPr>
          <w:rFonts w:ascii="Times New Roman" w:hAnsi="Times New Roman"/>
          <w:caps w:val="false"/>
          <w:smallCaps w:val="false"/>
          <w:sz w:val="20"/>
        </w:rPr>
        <w:t>” means, with respect to any Person for any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the Consolidated Net Income of such Person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u w:val="single"/>
        </w:rPr>
      </w:pPr>
      <w:r>
        <w:rPr>
          <w:rFonts w:ascii="Times New Roman" w:hAnsi="Times New Roman"/>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without duplication, the sum of the following amounts for such period to the extent deducted in the calculation of Consolidated Net Income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any provision for taxes, levies, imposts, duties, deductions, withholdings (including backup withholding), assessments, fees or other charges imposed by any Governmental Authority, including any interest, addition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Consolidated Net Interest Expense and, to the extent not reflected in such Consolidated Net Interest Expense, any expenses or losses on hedging obligations or other derivative instruments entered into for the purpose of hedging interest rate risk, net of interest income and gains on such hedging obligations or other derivative obligations, letter of credit fees, costs of surety bonds in connection with financing activities and any bank fees and financing fees (including commitment, underwriting, funding, “rollover” and similar fees and commissions, discounts, yields and other fees, charges and amounts incurred in connection with the issuance, incurrence or extinguishment of indebtedness and all commissions, discounts and other fees and charges owed with respect to letters of credit and bankers’ acceptance financing and net costs under any swap contracts entered into for the purpose of hedging interest rate risk) and annual agency, unused line, facility or similar fees paid under definitive documentation related to indebtedness (whether amortized or immediately expensed),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any depreciation and amortization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ordinary course Board of Directors’ fees and expenses paid in cash during such period in an amount not to exceed $750,000,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    any other non-cash expenditure, charge or loss for such period (other than any non-cash expenditure, charge or loss relating to write-offs, write-downs or reserves with respect to Accounts and Inventory and excluding any such non-cash item to the extent that it represents an accrual or reserve for potential cash items in any future period or amortization of a prepaid cash item that was paid in a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(vii)    fees, costs and expenses incurred in connection with the transactions contemplated by the Loan Documents on the Effective Date; </w:t>
      </w:r>
      <w:r>
        <w:rPr>
          <w:rFonts w:ascii="Times New Roman" w:hAnsi="Times New Roman"/>
          <w:caps w:val="false"/>
          <w:smallCaps w:val="false"/>
          <w:sz w:val="20"/>
          <w:u w:val="single"/>
        </w:rPr>
        <w:t>provided</w:t>
      </w:r>
      <w:r>
        <w:rPr>
          <w:rFonts w:ascii="Times New Roman" w:hAnsi="Times New Roman"/>
          <w:caps w:val="false"/>
          <w:smallCaps w:val="false"/>
          <w:sz w:val="20"/>
        </w:rPr>
        <w:t>, that such transaction fees, costs and expenses (A) (i) for any such transaction fees, costs and expenses incurred on or prior to the Effective Date, do not exceed $6,500,000 in the aggregate and (ii) for any such transaction fees, costs and expenses incurred after the Effective Date and paid within 365 days thereof, do not exceed $1,250,000 (provided that at least $1,000,000 of such amount shall have been incurred and paid within 120 days of the Effective Date), and (B) are reasonably identifiable and factually supportable,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(viii)    transaction fees, costs and expenses incurred in connection with amendments, modifications, supplements, joinders and waivers of the Loan Documents; </w:t>
      </w:r>
      <w:r>
        <w:rPr>
          <w:rFonts w:ascii="Times New Roman" w:hAnsi="Times New Roman"/>
          <w:caps w:val="false"/>
          <w:smallCaps w:val="false"/>
          <w:sz w:val="20"/>
          <w:u w:val="single"/>
        </w:rPr>
        <w:t>provided</w:t>
      </w:r>
      <w:r>
        <w:rPr>
          <w:rFonts w:ascii="Times New Roman" w:hAnsi="Times New Roman"/>
          <w:caps w:val="false"/>
          <w:smallCaps w:val="false"/>
          <w:sz w:val="20"/>
        </w:rPr>
        <w:t>, that such transaction fees, costs and expenses are reasonably identifiable and factually supportable,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(ix)    (A) any unusual or non-recurring items, charges, expenses or losses (including any restructuring costs, integration costs, severance costs, relocation costs, retention costs or recruiting costs or business optimization expenses) incurred, and (B) any pro forma synergies and run-rate savings (collectively, “</w:t>
      </w:r>
      <w:r>
        <w:rPr>
          <w:rFonts w:ascii="Times New Roman" w:hAnsi="Times New Roman"/>
          <w:caps w:val="false"/>
          <w:smallCaps w:val="false"/>
          <w:sz w:val="20"/>
          <w:u w:val="single"/>
        </w:rPr>
        <w:t>Cost Savings</w:t>
      </w:r>
      <w:r>
        <w:rPr>
          <w:rFonts w:ascii="Times New Roman" w:hAnsi="Times New Roman"/>
          <w:caps w:val="false"/>
          <w:smallCaps w:val="false"/>
          <w:sz w:val="20"/>
        </w:rPr>
        <w:t>”) projected by the Administrative Borrower in good faith to be realized as a result of actions in connection with any merger, amalgamation, acquisition, corporate initiative, joint venture or material disposition (each a “</w:t>
      </w:r>
      <w:r>
        <w:rPr>
          <w:rFonts w:ascii="Times New Roman" w:hAnsi="Times New Roman"/>
          <w:caps w:val="false"/>
          <w:smallCaps w:val="false"/>
          <w:sz w:val="20"/>
          <w:u w:val="single"/>
        </w:rPr>
        <w:t>Cost Saving Action</w:t>
      </w:r>
      <w:r>
        <w:rPr>
          <w:rFonts w:ascii="Times New Roman" w:hAnsi="Times New Roman"/>
          <w:caps w:val="false"/>
          <w:smallCaps w:val="false"/>
          <w:sz w:val="20"/>
        </w:rPr>
        <w:t xml:space="preserve">”) that have been taken by the Administrative Borrower or any of its Subsidiaries and permitted hereunder during such period (calculated on a pro forma basis as though such Cost-Savings had been realized on the first day of such period), net of the amount of actual benefits realized during such period from such Cost Saving Actions;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(1) such Cost-Savings are reasonably identifiable, reasonably attributable to the Cost Savings Actions specified and reasonably anticipated to result from such Cost Savings Actions, (2) such Cost Savings are commenced within 12 months of such Cost Savings Actions and the benefits resulting from such Cost Savings Actions are reasonably anticipated by the Borrowers to be realized within 12 months of the date of consummation of such Cost Saving Action and (3) no Cost-Savings may be added pursuant to this clause (ix)(B) to the extent duplicative of any expenses or charges relating thereto that are either excluded in computing consolidated net income (or loss) or included (i.e., added back) in computing Consolidated EBITDA for such period (and in each case, with respect to the foregoing clauses (A) and (B), certified by an Authorized Officer of the Administrative Borrower);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amount added back pursuant to this clause (ix), for any 4 Fiscal Quarters ending during any period set forth in the table below shall not exceed the thresholds (and in the case of thresholds referencing a percentage of Consolidated EBITDA, without giving effect to such addbacks) set forth opposite such period below:</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7" w:type="dxa"/>
        <w:tblLayout w:type="fixed"/>
        <w:tblCellMar>
          <w:top w:w="28" w:type="dxa"/>
          <w:left w:w="28" w:type="dxa"/>
          <w:bottom w:w="28" w:type="dxa"/>
          <w:right w:w="28" w:type="dxa"/>
        </w:tblCellMar>
      </w:tblPr>
      <w:tblGrid>
        <w:gridCol w:w="5150"/>
        <w:gridCol w:w="2645"/>
      </w:tblGrid>
      <w:tr>
        <w:trPr/>
        <w:tc>
          <w:tcPr>
            <w:tcW w:w="515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w:t>
            </w:r>
          </w:p>
        </w:tc>
        <w:tc>
          <w:tcPr>
            <w:tcW w:w="264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Cap</w:t>
            </w:r>
          </w:p>
        </w:tc>
      </w:tr>
      <w:tr>
        <w:trPr/>
        <w:tc>
          <w:tcPr>
            <w:tcW w:w="51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Any 4 fiscal quarter period ending on or before March 31, 2026</w:t>
            </w:r>
          </w:p>
        </w:tc>
        <w:tc>
          <w:tcPr>
            <w:tcW w:w="26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15.0% of Consolidated EBITDA</w:t>
            </w:r>
          </w:p>
        </w:tc>
      </w:tr>
      <w:tr>
        <w:trPr/>
        <w:tc>
          <w:tcPr>
            <w:tcW w:w="51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Any 4 fiscal quarter period ending on or after June 30, 2026</w:t>
            </w:r>
          </w:p>
        </w:tc>
        <w:tc>
          <w:tcPr>
            <w:tcW w:w="26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10.0% of Consolidated EBITDA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(xi)    (A) any reasonable, documented and customary fees, expenses, costs or charges (including fees, costs and expenses of any counsel, consultants or other advisors and transaction costs) related to or in connection with any Permitted Acquisition (including accrued earnout obligations or other similar deferred purchase price obligations), Permitted Disposition, equity offering or other issuance of Equity Interests or Indebtedness that is consummated (and such fees, expenses, costs or charges are not payable to any Affiliate of the Administrative Borrower and its Subsidiaries) and (B) any fees, expenses, costs or charges (including fees, costs and expenses of any counsel, consultants or other advisors and transaction costs) related to or in connection with any Permitted Acquisition or Permitted Disposition that is not consummated;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amount added back pursuant to this clause (xi)(B) for any 4 Fiscal Quarters shall not exceed 2.5% of Consolidated EBITDA (without giving effect to such addbacks),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(xii)    (A) to the extent not included in Consolidated Net Income, proceeds from business interruption insurance received during such period (or reasonably expected to be so received within 180 days of the end of such period to the extent not accrued) and (B) to the extent covered by insurance and actually reimbursed in cash during such period (or reasonably expected to be so reimbursed within 180 days of the end of such period to the extent not accrued), expenses with respect to liability or insurance and condemnation events,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each case, (1) if such amounts are not so received by or reimbursed to the Administrative Borrower or any of its Subsidiaries within such 180 day period, such amounts shall be subtracted in determining Consolidated EBITDA for such subsequent period and (2) if such amounts are so received by or reimbursed to the Administrative Borrower or any of its Subsidiaries in a subsequent period, such amounts shall not be permitted to be added back in determining Consolidated EBITDA for such subsequent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(xiii)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(xiv)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(xv)    non-cash deductions or charges to net income attributable to purchase accounting adjustments made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(xvi)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(xvii)    costs or expenses incurred pursuant to any management equity plan or stock option plan or any other management or employee benefit plan or agreement or any stock subscription or shareholder agreement, to the extent that such costs or expenses are funded with cash proceeds contributed to the capital of the Administrative Borrower or net cash proceeds of an issuance of Equity Interests of the Administrative Borrower or equity interests of any direct or indirect parent of the Administrative Borrower, other than any amount (x) used to make an investment to the extent that payment for such investments is made solely with Equity Interests and (y) constituting the proceeds of an equity cure,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u w:val="single"/>
        </w:rPr>
      </w:pPr>
      <w:r>
        <w:rPr>
          <w:rFonts w:ascii="Times New Roman" w:hAnsi="Times New Roman"/>
          <w:caps w:val="false"/>
          <w:smallCaps w:val="false"/>
          <w:sz w:val="20"/>
          <w:u w:val="single"/>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without duplication, the sum of the following amounts for such period to the extent included in the calculation of such Consolidated Net Income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any credit for taxes, levies, imposts, duties, deductions, withholdings (including backup withholding), assessments, fees or other charges imposed by any Governmental Authority, including any interest, addition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[reserved],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any other non-cash gain, including any reversal of a charge referred to in clause (b)(vi) above by reason of a decrease in the value of any Equity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any reversal of an accrual taken in a period prior to the 12-month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Consolidated Net Income</w:t>
      </w:r>
      <w:r>
        <w:rPr>
          <w:rFonts w:ascii="Times New Roman" w:hAnsi="Times New Roman"/>
          <w:caps w:val="false"/>
          <w:smallCaps w:val="false"/>
          <w:sz w:val="20"/>
        </w:rPr>
        <w:t xml:space="preserve">” means, with respect to any Person, for any period, the consolidated net income (or loss) of such Person and its Subsidiaries for such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following shall be excluded: (a) the net income of any other Person in which such Person or one of its Subsidiaries has a joint interest with a third-party (which interest does not cause the net income of such other Person to be consolidated into the net income of such Person), except to the extent of the amount of dividends or distributions paid to such Person or Subsidiary, (b) the net income of any Subsidiary of such Person that is, on the last day of such period, subject to any restriction or limitation on the payment of dividends or the making of other distributions, to the extent of such restriction or limitation (except to the extent such restrictions or limitations are waived in writing), and (c) the net income of any other Person arising prior to such other Person becoming a Subsidiary of such Person or merging or consolidating into such Person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Consolidated Net Interest Expense</w:t>
      </w:r>
      <w:r>
        <w:rPr>
          <w:rFonts w:ascii="Times New Roman" w:hAnsi="Times New Roman"/>
          <w:caps w:val="false"/>
          <w:smallCaps w:val="false"/>
          <w:sz w:val="20"/>
        </w:rPr>
        <w:t xml:space="preserve">” means, with respect to any Person for any period, (a) gross interest expense (excluding capitalized interest) of such Person and its Subsidiaries for such period determined on a consolidated basis and in accordance with GAAP (including, without limitation, interest expense paid to Affiliates of such Person), </w:t>
      </w:r>
      <w:r>
        <w:rPr>
          <w:rFonts w:ascii="Times New Roman" w:hAnsi="Times New Roman"/>
          <w:caps w:val="false"/>
          <w:smallCaps w:val="false"/>
          <w:sz w:val="20"/>
          <w:u w:val="single"/>
        </w:rPr>
        <w:t>less</w:t>
      </w:r>
      <w:r>
        <w:rPr>
          <w:rFonts w:ascii="Times New Roman" w:hAnsi="Times New Roman"/>
          <w:caps w:val="false"/>
          <w:smallCaps w:val="false"/>
          <w:sz w:val="20"/>
        </w:rPr>
        <w:t xml:space="preserve"> (b) the sum of (i) interest income for such period and (ii) actual gains for such period on Hedging Agreements (to the extent not included in interest income above and to the extent not deducted in the calculation of gross interest expense), </w:t>
      </w:r>
      <w:r>
        <w:rPr>
          <w:rFonts w:ascii="Times New Roman" w:hAnsi="Times New Roman"/>
          <w:caps w:val="false"/>
          <w:smallCaps w:val="false"/>
          <w:sz w:val="20"/>
          <w:u w:val="single"/>
        </w:rPr>
        <w:t xml:space="preserve">plus </w:t>
      </w:r>
      <w:r>
        <w:rPr>
          <w:rFonts w:ascii="Times New Roman" w:hAnsi="Times New Roman"/>
          <w:caps w:val="false"/>
          <w:smallCaps w:val="false"/>
          <w:sz w:val="20"/>
        </w:rPr>
        <w:t>(c) the sum of (i) actual losses for such period on Hedging Agreements (to the extent not included in gross interest expense) and (ii) the upfront costs or fees for such period associated with Hedging Agreements (to the extent not included in gross interest expense), in each case, determined on a consolidated basis and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Contingent Indemnity Obligations</w:t>
      </w:r>
      <w:r>
        <w:rPr>
          <w:rFonts w:ascii="Times New Roman" w:hAnsi="Times New Roman"/>
          <w:caps w:val="false"/>
          <w:smallCaps w:val="false"/>
          <w:sz w:val="20"/>
        </w:rPr>
        <w:t>” means any Obligation constituting a contingent, unliquidated indemnification obligation of any Loan Party, in each case, to the extent (a) such obligation has not accrued and is not yet due and payable and (b) no claim has been made or is reasonably anticipated to be made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Contingent Obligation</w:t>
      </w:r>
      <w:r>
        <w:rPr>
          <w:rFonts w:ascii="Times New Roman" w:hAnsi="Times New Roman"/>
          <w:caps w:val="false"/>
          <w:smallCaps w:val="false"/>
          <w:sz w:val="20"/>
        </w:rPr>
        <w:t xml:space="preserve">” means, with respect to any Person, any obligation of such Person guaranteeing or intending to guarantee any Indebtedness, leases, dividends or other obligations (“primary obligations”) of any other Person (the “primary obligor”) in any manner, whether directly or indirectly, including, without limitation, (a) the direct or indirect guaranty, endorsement, co-making, discounting with recourse or sale with recourse by such Person of the obligation of a primary obligor, (b) the obligation to make take-or-pay or similar payments, if required, regardless of nonperformance by any other party or parties to an agreement, (c)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assets,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term “Contingent Obligation” shall not include any product warranties extended in the ordinary course of business or endorsement in the ordinary course of business. The amount of any Contingent Obligation shall be deemed to be an amount equal to the stated or determinable amount of the primary obligation with respect to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liability with respect thereto (assuming such Person is required to perform thereunder), as determined by such Person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Contractual Obligation</w:t>
      </w:r>
      <w:r>
        <w:rPr>
          <w:rFonts w:ascii="Times New Roman" w:hAnsi="Times New Roman"/>
          <w:caps w:val="false"/>
          <w:smallCaps w:val="false"/>
          <w:sz w:val="20"/>
        </w:rPr>
        <w:t>” means, as to any Person, any provision of any security issued by such Person or of any agreement, instrument or other undertaking to which such Person is a party or by which it or any of its property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Control Agreement</w:t>
      </w:r>
      <w:r>
        <w:rPr>
          <w:rFonts w:ascii="Times New Roman" w:hAnsi="Times New Roman"/>
          <w:caps w:val="false"/>
          <w:smallCaps w:val="false"/>
          <w:sz w:val="20"/>
        </w:rPr>
        <w:t>” means, with respect to any deposit account, any securities account, commodity account, securities entitlement or commodity contract, a “springing control” agreement, in form and substance reasonably satisfactory to the Collateral Agent, among the Collateral Agent, the Servicing Agent (who shall be appointed as a sub-agent of the Collateral Agent thereunder), the financial institution or other Person at which such account is maintained or with which such entitlement or contract is carried and the Loan Party maintaining such account, effective to grant “control” (as defined under the applicable UCC) over such account to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Corresponding Debt</w:t>
      </w:r>
      <w:r>
        <w:rPr>
          <w:rFonts w:ascii="Times New Roman" w:hAnsi="Times New Roman"/>
          <w:caps w:val="false"/>
          <w:smallCaps w:val="false"/>
          <w:sz w:val="20"/>
        </w:rPr>
        <w:t>” has the meaning specified therefor in Section 10.19(b).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DDTL Penny Warrants</w:t>
      </w:r>
      <w:r>
        <w:rPr>
          <w:rFonts w:ascii="Times New Roman" w:hAnsi="Times New Roman"/>
          <w:caps w:val="false"/>
          <w:smallCaps w:val="false"/>
          <w:sz w:val="20"/>
        </w:rPr>
        <w:t xml:space="preserve">” means any common stock purchase warrants substantially in the form of </w:t>
      </w:r>
      <w:r>
        <w:rPr>
          <w:rFonts w:ascii="Times New Roman" w:hAnsi="Times New Roman"/>
          <w:caps w:val="false"/>
          <w:smallCaps w:val="false"/>
          <w:sz w:val="20"/>
          <w:u w:val="single"/>
        </w:rPr>
        <w:t>Exhibit L</w:t>
      </w:r>
      <w:r>
        <w:rPr>
          <w:rFonts w:ascii="Times New Roman" w:hAnsi="Times New Roman"/>
          <w:caps w:val="false"/>
          <w:smallCaps w:val="false"/>
          <w:sz w:val="20"/>
        </w:rPr>
        <w:t xml:space="preserve"> hereto, delivered by the Administrative Borrower to each Holder (as defined therein), issued in connection with the making of a Delayed Draw Term Loan, which entitle the Holders to acquire a number of fully paid and nonassessable shares of common stock of the Administrative Borrower of up to 1.5% (it being understood and agreed that 0.5% out of such 1.5% shall be issued solely in connection with Delayed Draw Term Loans funded after the Amendment No. 3 Effective Date, if any) of the number of fully diluted shares of the common stock of the Administrative Borrower outstanding measured as of the date such Delayed Draw Term Loans are incurred, to be determined in accordance with the terms of Section 5.02(e), upon payment of the exercise price per share equal to $0.01.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DDTL Premium Warrants</w:t>
      </w:r>
      <w:r>
        <w:rPr>
          <w:rFonts w:ascii="Times New Roman" w:hAnsi="Times New Roman"/>
          <w:caps w:val="false"/>
          <w:smallCaps w:val="false"/>
          <w:sz w:val="20"/>
        </w:rPr>
        <w:t xml:space="preserve">” means any common stock purchase warrants substantially in the form of </w:t>
      </w:r>
      <w:r>
        <w:rPr>
          <w:rFonts w:ascii="Times New Roman" w:hAnsi="Times New Roman"/>
          <w:caps w:val="false"/>
          <w:smallCaps w:val="false"/>
          <w:sz w:val="20"/>
          <w:u w:val="single"/>
        </w:rPr>
        <w:t>Exhibit M</w:t>
      </w:r>
      <w:r>
        <w:rPr>
          <w:rFonts w:ascii="Times New Roman" w:hAnsi="Times New Roman"/>
          <w:caps w:val="false"/>
          <w:smallCaps w:val="false"/>
          <w:sz w:val="20"/>
        </w:rPr>
        <w:t xml:space="preserve"> hereto, delivered by the Administrative Borrower to each Holder (as defined therein), issued in connection with the making of a Delayed Draw Term Loan, which entitle the Holders to acquire a number of fully paid and nonassessable shares of common stock of the Administrative Borrower of up to 1.25% of the number of fully diluted shares of the common stock of the Administrative Borrower outstanding measured as of the date such Delayed Draw Term Loans are incurred, to be determined in accordance with the terms of Section 5.02(e), upon payment of the exercise price per share equal to $1.25.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DDTL Super Premium Warrants</w:t>
      </w:r>
      <w:r>
        <w:rPr>
          <w:rFonts w:ascii="Times New Roman" w:hAnsi="Times New Roman"/>
          <w:caps w:val="false"/>
          <w:smallCaps w:val="false"/>
          <w:sz w:val="20"/>
        </w:rPr>
        <w:t xml:space="preserve">” means any common stock purchase warrants substantially in the form of </w:t>
      </w:r>
      <w:r>
        <w:rPr>
          <w:rFonts w:ascii="Times New Roman" w:hAnsi="Times New Roman"/>
          <w:caps w:val="false"/>
          <w:smallCaps w:val="false"/>
          <w:sz w:val="20"/>
          <w:u w:val="single"/>
        </w:rPr>
        <w:t>Exhibit N</w:t>
      </w:r>
      <w:r>
        <w:rPr>
          <w:rFonts w:ascii="Times New Roman" w:hAnsi="Times New Roman"/>
          <w:caps w:val="false"/>
          <w:smallCaps w:val="false"/>
          <w:sz w:val="20"/>
        </w:rPr>
        <w:t xml:space="preserve"> hereto, delivered by the Administrative Borrower to each Holder (as defined therein), issued in connection with the making of a Delayed Draw Term Loan, which entitle the Holders to acquire a number of fully paid and nonassessable shares of common stock of the Administrative Borrower of up to 1.75% of the number of fully diluted shares of the common stock of the Administrative Borrower outstanding measured as of the date such Delayed Draw Term Loans are incurred, to be determined in accordance with the terms of Section 5.02(e), upon payment of the exercise price per share equal to $1.50.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DDTL Warrants</w:t>
      </w:r>
      <w:r>
        <w:rPr>
          <w:rFonts w:ascii="Times New Roman" w:hAnsi="Times New Roman"/>
          <w:caps w:val="false"/>
          <w:smallCaps w:val="false"/>
          <w:sz w:val="20"/>
        </w:rPr>
        <w:t>” means, collectively, the DDTL Penny Warrants, the DDTL Premium Warrants and the DDTL Super Premium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Debtor Relief Law</w:t>
      </w:r>
      <w:r>
        <w:rPr>
          <w:rFonts w:ascii="Times New Roman" w:hAnsi="Times New Roman"/>
          <w:caps w:val="false"/>
          <w:smallCaps w:val="false"/>
          <w:sz w:val="20"/>
        </w:rPr>
        <w:t>” means the Bankruptcy Code and any other liquidation, conservatorship, bankruptcy, general assignment for the benefit of creditors, moratorium, arrangement, the suspension of payments, winding-up, dissolution, administration, resolution, rearrangement, receivership, insolvency, reorganization (by way of voluntary arrangement, scheme of arrangement, composition, compromise, assignment or otherwise), or similar laws providing for debtor relief or otherwise affecting the enforcement of creditors’ rights generally, including any proceeding under corporate law or other law whereby a corporation seeks a stay, arrangement or a compromise of the claims of its creditors against it, of the United States or other applicable jurisdiction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December 2025 Term Loan B Amendment Fee</w:t>
      </w:r>
      <w:r>
        <w:rPr>
          <w:rFonts w:ascii="Times New Roman" w:hAnsi="Times New Roman"/>
          <w:caps w:val="false"/>
          <w:smallCaps w:val="false"/>
          <w:sz w:val="20"/>
        </w:rPr>
        <w:t>” means an amount equal to $1,132,500.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Declining Lender</w:t>
      </w:r>
      <w:r>
        <w:rPr>
          <w:rFonts w:ascii="Times New Roman" w:hAnsi="Times New Roman"/>
          <w:caps w:val="false"/>
          <w:smallCaps w:val="false"/>
          <w:sz w:val="20"/>
        </w:rPr>
        <w:t>” has the meaning specified therefor in Section 2.05(g).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Default</w:t>
      </w:r>
      <w:r>
        <w:rPr>
          <w:rFonts w:ascii="Times New Roman" w:hAnsi="Times New Roman"/>
          <w:caps w:val="false"/>
          <w:smallCaps w:val="false"/>
          <w:sz w:val="20"/>
        </w:rPr>
        <w:t>” means an event which, with the giving of notice or the lapse of time or both hereunder, without cure or waiver in accordance with Section 1.03,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Defaulting Lender</w:t>
      </w:r>
      <w:r>
        <w:rPr>
          <w:rFonts w:ascii="Times New Roman" w:hAnsi="Times New Roman"/>
          <w:caps w:val="false"/>
          <w:smallCaps w:val="false"/>
          <w:sz w:val="20"/>
        </w:rPr>
        <w:t>” means any Lender that (a) has failed to (i) fund all or any portion of its Loans within 2 Business Days of the date such Loans were required to be funded hereunder unless such Lender notifies the Administrative Agent and the Administrative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2 Business Days of the date when due, (b) has notified the Administrative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2 Business Days after written request by the Administrative Agent or the Administrative Borrower, to confirm in writing to the Administrative Agent and the Administrative Borrower that it will comply with its prospective funding obligations hereunder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Lender shall cease to be a Defaulting Lender pursuant to this clause (c) upon receipt of such written confirmation by the Administrative Agent and the Administrative Borrower), or (d) has, or has a direct or indirect parent company that has, (i) become the subject of a proceeding under any Debtor Relief Law or become the subject of any Bail-In Action,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Notwithstanding anything to the contrary herein,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permits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upon delivery of written notice of such determination to the Administrative Borrower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Delayed Draw Borrowing Date</w:t>
      </w:r>
      <w:r>
        <w:rPr>
          <w:rFonts w:ascii="Times New Roman" w:hAnsi="Times New Roman"/>
          <w:caps w:val="false"/>
          <w:smallCaps w:val="false"/>
          <w:sz w:val="20"/>
        </w:rPr>
        <w:t>” means, the date upon which the Borrowing of Delayed Draw Term Loans pursuant to Section 2.01(a)(iv)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Delayed Draw Commitment Termination Date</w:t>
      </w:r>
      <w:r>
        <w:rPr>
          <w:rFonts w:ascii="Times New Roman" w:hAnsi="Times New Roman"/>
          <w:caps w:val="false"/>
          <w:smallCaps w:val="false"/>
          <w:sz w:val="20"/>
        </w:rPr>
        <w:t>” means the Final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Delayed Draw Term Loan Commitment</w:t>
      </w:r>
      <w:r>
        <w:rPr>
          <w:rFonts w:ascii="Times New Roman" w:hAnsi="Times New Roman"/>
          <w:caps w:val="false"/>
          <w:smallCaps w:val="false"/>
          <w:sz w:val="20"/>
        </w:rPr>
        <w:t>” with respect to each Lender, the commitment of such Lender to make Delayed Draw Term Loans to the Borrowers in the amount set forth in Schedule 1.01(A) hereto or in the Assignment and Acceptance pursuant to which such Lender became a Lender under this Agreement, as the same may be terminated or reduced from time to time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Delayed Draw Term Lender</w:t>
      </w:r>
      <w:r>
        <w:rPr>
          <w:rFonts w:ascii="Times New Roman" w:hAnsi="Times New Roman"/>
          <w:caps w:val="false"/>
          <w:smallCaps w:val="false"/>
          <w:sz w:val="20"/>
        </w:rPr>
        <w:t>” means any Lender with a Delayed Draw Term Loan Commitment or an outstanding Delayed Draw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Delayed Draw Term Loan</w:t>
      </w:r>
      <w:r>
        <w:rPr>
          <w:rFonts w:ascii="Times New Roman" w:hAnsi="Times New Roman"/>
          <w:caps w:val="false"/>
          <w:smallCaps w:val="false"/>
          <w:sz w:val="20"/>
        </w:rPr>
        <w:t>” means, collectively, the loans made by the Delayed Draw Term Loan Lenders to the Borrowers pursuant to Section 2.01(a)(iv).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Device</w:t>
      </w:r>
      <w:r>
        <w:rPr>
          <w:rFonts w:ascii="Times New Roman" w:hAnsi="Times New Roman"/>
          <w:caps w:val="false"/>
          <w:smallCaps w:val="false"/>
          <w:sz w:val="20"/>
        </w:rPr>
        <w:t>” means any instrument, apparatus, implement, machine, contrivance, implant, in vitro reagent, or other similar or related article, including any component, part, or accessory, which is (a) recognized in the official National Formulary, or the United States Pharmacopeia, or any supplement to them, (b) intended for use in the diagnosis of disease or other conditions, or in the cure, mitigation, treatment, or prevention of disease, in man or other animals, (c)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its primary intended purposes, (d) any product otherwise classified as a “device” under the FD&amp;C Act and/or (e) any instrument, apparatus, appliance, software, implant, reagent, material or other article meeting the definition of a medical device under Regulation (EU) 2017/745 on medical devices,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Device Approval Application</w:t>
      </w:r>
      <w:r>
        <w:rPr>
          <w:rFonts w:ascii="Times New Roman" w:hAnsi="Times New Roman"/>
          <w:caps w:val="false"/>
          <w:smallCaps w:val="false"/>
          <w:sz w:val="20"/>
        </w:rPr>
        <w:t>” means, with respect to any Device, a premarket approval application (PMA) submitted under Section 515 of the FD&amp;C Act (21 U.S.C. § 360e), a de novo request submitted under Section 513(f) of the FD&amp;C Act (21 U.S.C. §360c(f)), or premarket notification submitted under Section 510(k) of the FD&amp;C Act (21 U.S.C. § 360(k)), or any corresponding foreign notification or application, the approval or granting of which allows or is a key step in allowing the Device to be sold to end customers in the respective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Disposition</w:t>
      </w:r>
      <w:r>
        <w:rPr>
          <w:rFonts w:ascii="Times New Roman" w:hAnsi="Times New Roman"/>
          <w:caps w:val="false"/>
          <w:smallCaps w:val="false"/>
          <w:sz w:val="20"/>
        </w:rPr>
        <w:t>” or “</w:t>
      </w:r>
      <w:r>
        <w:rPr>
          <w:rFonts w:ascii="Times New Roman" w:hAnsi="Times New Roman"/>
          <w:caps w:val="false"/>
          <w:smallCaps w:val="false"/>
          <w:sz w:val="20"/>
          <w:u w:val="single"/>
        </w:rPr>
        <w:t>Disposed</w:t>
      </w:r>
      <w:r>
        <w:rPr>
          <w:rFonts w:ascii="Times New Roman" w:hAnsi="Times New Roman"/>
          <w:caps w:val="false"/>
          <w:smallCaps w:val="false"/>
          <w:sz w:val="20"/>
        </w:rPr>
        <w:t>” means any transaction, or series of related transactions, pursuant to which any Person or any of its Subsidiaries sells, assigns, transfers, leases, licenses (as licensor) or otherwise disposes of any property or assets (whether now owned or hereafter acquired) to any other Person, in each case, whether or not the consideration therefor consists of cash, securities or other assets owned by the acquiring Person. For purposes of clarification, “Disposition” shall include (a) the sale or other disposition for value of any contracts, (b) any disposition of property through an LLC Division, (c) any Equity Issuance (other than any Equity Issuance by the Administrative Borrower of Qualified Equity Interests) or (d) the early termination or modification of any contract resulting in the receipt by any Loan Party of a cash payment or other consideration in exchange for such event (other than payments in the ordinary course for accrued and unpaid amounts due through the date of termination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Disqualified Equity Interests</w:t>
      </w:r>
      <w:r>
        <w:rPr>
          <w:rFonts w:ascii="Times New Roman" w:hAnsi="Times New Roman"/>
          <w:caps w:val="false"/>
          <w:smallCaps w:val="false"/>
          <w:sz w:val="20"/>
        </w:rPr>
        <w:t xml:space="preserve">” means any Equity Interest that, by its terms (or by the terms of any security or other Equity Interest into which it is convertible or for which it is exchangeable), or upon the happening of any event or condition, (a) matures or is mandatorily redeemable (other than for Qualified Equity Interests), pursuant to a sinking fund obligation or otherwise (except as a result of a change of control, asset sale or similar event so long as any rights of the holders thereof upon the occurrence of a change of control, asset sale or similar event shall be subject to the prior repayment in full of the Loans and all other Obligations (other than Contingent Indemnity Obligations not due and owing) and the termination of the Commitments), (b) is redeemable at the option of the holder thereof, in whole or in part (other than for Qualified Equity Interests), (c) provides for the scheduled payments of dividends or distributions in cash, or (d) is convertible into or exchangeable for (i) Indebtedness or (ii) any other Equity Interests that would constitute Disqualified Equity Interests, in each case of clauses (a) through (d), prior to the date that is 91 days after the Final Maturity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such Equity Interests are issued pursuant to a plan for the benefit of directors, officers, employees, members of management, managers or consultants of the Administrative Borrower or any of its Subsidiaries or by any such plan to such Persons, such Equity Interests shall not constitute Disqualified Equity Interests solely because they may be required to be repurchased by the Administrative Borrower or any of its Subsidiaries in order to satisfy applicable statutory or regulatory obligations or as a result of such Person’s termination, death or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Dollar</w:t>
      </w:r>
      <w:r>
        <w:rPr>
          <w:rFonts w:ascii="Times New Roman" w:hAnsi="Times New Roman"/>
          <w:caps w:val="false"/>
          <w:smallCaps w:val="false"/>
          <w:sz w:val="20"/>
        </w:rPr>
        <w:t>,” “</w:t>
      </w:r>
      <w:r>
        <w:rPr>
          <w:rFonts w:ascii="Times New Roman" w:hAnsi="Times New Roman"/>
          <w:caps w:val="false"/>
          <w:smallCaps w:val="false"/>
          <w:sz w:val="20"/>
          <w:u w:val="single"/>
        </w:rPr>
        <w:t>Dollars</w:t>
      </w:r>
      <w:r>
        <w:rPr>
          <w:rFonts w:ascii="Times New Roman" w:hAnsi="Times New Roman"/>
          <w:caps w:val="false"/>
          <w:smallCaps w:val="false"/>
          <w:sz w:val="20"/>
        </w:rPr>
        <w:t>” and the symbol “</w:t>
      </w:r>
      <w:r>
        <w:rPr>
          <w:rFonts w:ascii="Times New Roman" w:hAnsi="Times New Roman"/>
          <w:caps w:val="false"/>
          <w:smallCaps w:val="false"/>
          <w:sz w:val="20"/>
          <w:u w:val="single"/>
        </w:rPr>
        <w:t>$</w:t>
      </w:r>
      <w:r>
        <w:rPr>
          <w:rFonts w:ascii="Times New Roman" w:hAnsi="Times New Roman"/>
          <w:caps w:val="false"/>
          <w:smallCaps w:val="false"/>
          <w:sz w:val="20"/>
        </w:rPr>
        <w:t>” each means lawful money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Domestic Subsidiary</w:t>
      </w:r>
      <w:r>
        <w:rPr>
          <w:rFonts w:ascii="Times New Roman" w:hAnsi="Times New Roman"/>
          <w:caps w:val="false"/>
          <w:smallCaps w:val="false"/>
          <w:sz w:val="20"/>
        </w:rPr>
        <w:t>” means any Subsidiary that is organized and existing under the laws of the United States or any state or commonwealth thereof or under the laws of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Domestic Loan Party</w:t>
      </w:r>
      <w:r>
        <w:rPr>
          <w:rFonts w:ascii="Times New Roman" w:hAnsi="Times New Roman"/>
          <w:caps w:val="false"/>
          <w:smallCaps w:val="false"/>
          <w:sz w:val="20"/>
        </w:rPr>
        <w:t>” means any Loan Party that is organized and existing under the laws of the United States or any state or commonwealth thereof or under the laws of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EEA Member Country</w:t>
      </w:r>
      <w:r>
        <w:rPr>
          <w:rFonts w:ascii="Times New Roman" w:hAnsi="Times New Roman"/>
          <w:caps w:val="false"/>
          <w:smallCaps w:val="false"/>
          <w:sz w:val="20"/>
        </w:rPr>
        <w:t>” means any member state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Effective Date</w:t>
      </w:r>
      <w:r>
        <w:rPr>
          <w:rFonts w:ascii="Times New Roman" w:hAnsi="Times New Roman"/>
          <w:caps w:val="false"/>
          <w:smallCaps w:val="false"/>
          <w:sz w:val="20"/>
        </w:rPr>
        <w:t>” has the meaning specified therefor in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Electronic Product Radiation Control</w:t>
      </w:r>
      <w:r>
        <w:rPr>
          <w:rFonts w:ascii="Times New Roman" w:hAnsi="Times New Roman"/>
          <w:caps w:val="false"/>
          <w:smallCaps w:val="false"/>
          <w:sz w:val="20"/>
        </w:rPr>
        <w:t>” means the radiation control provisions of the FD&amp;C Act or analogous foreign applicable provisions of Requirements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Employee Plan</w:t>
      </w:r>
      <w:r>
        <w:rPr>
          <w:rFonts w:ascii="Times New Roman" w:hAnsi="Times New Roman"/>
          <w:caps w:val="false"/>
          <w:smallCaps w:val="false"/>
          <w:sz w:val="20"/>
        </w:rPr>
        <w:t>” means an “employee benefit plan” within the meaning of Section 3(3) of ERISA (other than a Multiemployer Plan), that any Loan Party maintains, sponsors, contributes to or is obligated to contribute to, or with respect to which a Loan Party has any liability, including on account of an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Environmental Claim</w:t>
      </w:r>
      <w:r>
        <w:rPr>
          <w:rFonts w:ascii="Times New Roman" w:hAnsi="Times New Roman"/>
          <w:caps w:val="false"/>
          <w:smallCaps w:val="false"/>
          <w:sz w:val="20"/>
        </w:rPr>
        <w:t>” means any complaint, summons, citation, notice, directive, order, claim, litigation, investigation, judicial or administrative proceeding, judgment, letter or other communication from any Person or Governmental Authority involving any alleged or actual (a) violation of or liability arising under any Environmental Law; or (b) violation of a Requirement of Law or liability resulting from the manufacture, use, handling, generation, transportation, storage, treatment, Release, threatened Release or disposal of or exposure to any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Environmental Law</w:t>
      </w:r>
      <w:r>
        <w:rPr>
          <w:rFonts w:ascii="Times New Roman" w:hAnsi="Times New Roman"/>
          <w:caps w:val="false"/>
          <w:smallCaps w:val="false"/>
          <w:sz w:val="20"/>
        </w:rPr>
        <w:t>” means any Requirement of Law relating to or concerning (i) the protection of the environment, natural resources, or human health or safety (with respect to exposure to Hazardous Materials), or (ii) the manufacture, use, handling, generation, transportation, storage, treatment, Release, threatened Release or disposal of or exposure to any Hazardous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Environmental Liability</w:t>
      </w:r>
      <w:r>
        <w:rPr>
          <w:rFonts w:ascii="Times New Roman" w:hAnsi="Times New Roman"/>
          <w:caps w:val="false"/>
          <w:smallCaps w:val="false"/>
          <w:sz w:val="20"/>
        </w:rPr>
        <w:t>” means all liabilities (contingent or otherwise, known or unknown), monetary obligations, losses (including monies paid in settlement), damages, natural resource damages, costs and expenses (including all reasonable fees, costs, client charges and expenses of counsel, experts and consultants), fines, penalties, sanctions and interest arising directly or indirectly as a result of or based upon (a) any Environmental Claim; (b) any actual or alleged non-compliance with Environmental Law or Environmental Permit; (c) any actual, alleged or threatened Release of or exposure to Hazardous Materials; (d) any Remedial Action; (e) any environmental contamination condition; or (f) any contract, legally binding agreement, or other arrangement to the extent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Environmental Lien</w:t>
      </w:r>
      <w:r>
        <w:rPr>
          <w:rFonts w:ascii="Times New Roman" w:hAnsi="Times New Roman"/>
          <w:caps w:val="false"/>
          <w:smallCaps w:val="false"/>
          <w:sz w:val="20"/>
        </w:rPr>
        <w:t>” means any Lien in favor of any Governmental Authority for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Environmental Permit</w:t>
      </w:r>
      <w:r>
        <w:rPr>
          <w:rFonts w:ascii="Times New Roman" w:hAnsi="Times New Roman"/>
          <w:caps w:val="false"/>
          <w:smallCaps w:val="false"/>
          <w:sz w:val="20"/>
        </w:rPr>
        <w:t>” means any permit, license, authorization, approval, registration or entitlement required by any Environmental Law or by any Governmental Authority pursuant to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Equity Documents</w:t>
      </w:r>
      <w:r>
        <w:rPr>
          <w:rFonts w:ascii="Times New Roman" w:hAnsi="Times New Roman"/>
          <w:caps w:val="false"/>
          <w:smallCaps w:val="false"/>
          <w:sz w:val="20"/>
        </w:rPr>
        <w:t>” means each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Governance Agreement, duly executed by the Administrative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Warrants, duly executed by the Administrative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when issued, the DDTL Warrants, duly executed by the Administrative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Amendment No. 3 Penny Warrants, duly executed by the Administrative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Equity Interests</w:t>
      </w:r>
      <w:r>
        <w:rPr>
          <w:rFonts w:ascii="Times New Roman" w:hAnsi="Times New Roman"/>
          <w:caps w:val="false"/>
          <w:smallCaps w:val="false"/>
          <w:sz w:val="20"/>
        </w:rPr>
        <w:t xml:space="preserve">” means (a) all shares of capital stock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of the foregoing and all warrants, options or other rights to purchase, subscribe for or otherwise acquire any of the foregoing, whether or not presently convertible, exchangeable or exercisable; </w:t>
      </w:r>
      <w:r>
        <w:rPr>
          <w:rFonts w:ascii="Times New Roman" w:hAnsi="Times New Roman"/>
          <w:caps w:val="false"/>
          <w:smallCaps w:val="false"/>
          <w:sz w:val="20"/>
          <w:u w:val="single"/>
        </w:rPr>
        <w:t>provided</w:t>
      </w:r>
      <w:r>
        <w:rPr>
          <w:rFonts w:ascii="Times New Roman" w:hAnsi="Times New Roman"/>
          <w:caps w:val="false"/>
          <w:smallCaps w:val="false"/>
          <w:sz w:val="20"/>
        </w:rPr>
        <w:t>, that any instrument evidencing Indebtedness convertible or exchangeable for Equity Interests shall not be deemed to be Equity Interests unless and until any such instruments are so converted or exchanged.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Equity Issuance</w:t>
      </w:r>
      <w:r>
        <w:rPr>
          <w:rFonts w:ascii="Times New Roman" w:hAnsi="Times New Roman"/>
          <w:caps w:val="false"/>
          <w:smallCaps w:val="false"/>
          <w:sz w:val="20"/>
        </w:rPr>
        <w:t>” means either (a) the sale or issuance by any Loan Party or any of its Subsidiaries of any shares of its Equity Interests or (b) the receipt by the Administrative Borrower of any cash capital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ERISA</w:t>
      </w:r>
      <w:r>
        <w:rPr>
          <w:rFonts w:ascii="Times New Roman" w:hAnsi="Times New Roman"/>
          <w:caps w:val="false"/>
          <w:smallCaps w:val="false"/>
          <w:sz w:val="20"/>
        </w:rPr>
        <w:t>” means the Employee Retirement Income Security Act of 1974, as amended, and any successor statute of similar import, and regulations thereunder, in each case, as in effect from time to time. References to sections of ERISA shall be construed also to refer to any successor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ERISA Affiliate</w:t>
      </w:r>
      <w:r>
        <w:rPr>
          <w:rFonts w:ascii="Times New Roman" w:hAnsi="Times New Roman"/>
          <w:caps w:val="false"/>
          <w:smallCaps w:val="false"/>
          <w:sz w:val="20"/>
        </w:rPr>
        <w:t>” means, with respect to any Person, any trade or business (whether or not incorporated) which is a member of a group of which such Person is a member and which would be deemed to be a “controlled group” or under “common control” within the meaning of Sections 414(b) or (c) or Sections 4001(a)(14) or 4001(b)(1) of ERISA or, solely for purposes of Section 412 of the Internal Revenue Code, Sections 414(m) or (o)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ERISA Event</w:t>
      </w:r>
      <w:r>
        <w:rPr>
          <w:rFonts w:ascii="Times New Roman" w:hAnsi="Times New Roman"/>
          <w:caps w:val="false"/>
          <w:smallCaps w:val="false"/>
          <w:sz w:val="20"/>
        </w:rPr>
        <w:t>” means (a) the occurrence of a Reportable Event with respect to any Pension Plan; (b) the failure to meet the minimum funding standards of Section 412 or 430 of the Internal Revenue Code or Section 302 or 303 of ERISA with respect to any Pension Plan (excluding contribution requirements waived in accordance with Section 412(c) of the Internal Revenue Code or Section 302(c) of ERISA) or the failure to make a contribution or installment required under Section 412 or Section 430(j) of the Internal Revenue Code with respect to any Pension Plan or the failure to make any required contribution to a Multiemployer Plan; (c) a determination that any Pension Plan is in “at risk” status (as defined in Section 430 of the Internal Revenue Code or Section 303 of ERISA); (d) a determination that any Multiemployer Plan is, or is reasonably expected to be, in “critical” or “endangered” status under Section 432 of the Internal Revenue Code or Section 305 of ERISA; (e) the filing of a notice of intent to terminate a Pension Plan or the treatment of an amendment to a Pension Plan as a termination under Section 4041 of ERISA, in each case after the Effective Date; (f) the withdrawal by any Loan Party or any of its ERISA Affiliates from any Pension Plan subject to Section 4063 of ERISA during a plan year in which such entity was a “substantial employer” as defined in Section 4001(a)(2) of ERISA or the termination of any such Pension Plan resulting in liability to any Loan Party or any of its ERISA Affiliates pursuant to Section 4063 or 4064 of ERISA; (g) the institution by the PBGC of proceedings to terminate any Pension Plan, or the appointment of a trustee to administer, any Pension Plan; (h) the imposition of liability on any Loan Party or any of its ERISA Affiliates pursuant to Section 4062(e) or 4069(a) of ERISA or by reason of the application of Section 4212(c) of ERISA; (i) the withdrawal of any Loan Party or any of its ERISA Affiliates in a complete or partial withdrawal (within the meaning of Sections 4203 and 4205 of ERISA) from any Multiemployer Plan or the receipt by any Loan Party or any of its ERISA Affiliates of notice from any Multiemployer Plan that it is in insolvency pursuant to Section 4245 of ERISA, or that it intends to terminate or has terminated under Section 4041A or 4042 of ERISA; (j) the imposition of any liability under Title IV of ERISA, other than for PBGC premiums due but not delinquent, upon any Loan Party or any of its ERISA Affiliates; or (k) the imposition of a Lien on the assets of a Loan Party pursuant to Section 430(k) of the Internal Revenue Code or pursuant to ERISA with respect to any Pension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Erroneous Distribution</w:t>
      </w:r>
      <w:r>
        <w:rPr>
          <w:rFonts w:ascii="Times New Roman" w:hAnsi="Times New Roman"/>
          <w:caps w:val="false"/>
          <w:smallCaps w:val="false"/>
          <w:sz w:val="20"/>
        </w:rPr>
        <w:t>” has the meaning specified therefor in Section 10.16.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Escrow Account</w:t>
      </w:r>
      <w:r>
        <w:rPr>
          <w:rFonts w:ascii="Times New Roman" w:hAnsi="Times New Roman"/>
          <w:caps w:val="false"/>
          <w:smallCaps w:val="false"/>
          <w:sz w:val="20"/>
        </w:rPr>
        <w:t>” has the meaning assigned to the term “Account” in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Escrow Agent</w:t>
      </w:r>
      <w:r>
        <w:rPr>
          <w:rFonts w:ascii="Times New Roman" w:hAnsi="Times New Roman"/>
          <w:caps w:val="false"/>
          <w:smallCaps w:val="false"/>
          <w:sz w:val="20"/>
        </w:rPr>
        <w:t>” means Alter Domus (US)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Escrow Agreement</w:t>
      </w:r>
      <w:r>
        <w:rPr>
          <w:rFonts w:ascii="Times New Roman" w:hAnsi="Times New Roman"/>
          <w:caps w:val="false"/>
          <w:smallCaps w:val="false"/>
          <w:sz w:val="20"/>
        </w:rPr>
        <w:t>” means that certain Escrow Agreement, dated as of June 6, 2025, among the Escrow Agent, the Administrative Borrower, the Administrative Agent and the Servicing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EU Bail-In Legislation Schedule</w:t>
      </w:r>
      <w:r>
        <w:rPr>
          <w:rFonts w:ascii="Times New Roman" w:hAnsi="Times New Roman"/>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Event of Default</w:t>
      </w:r>
      <w:r>
        <w:rPr>
          <w:rFonts w:ascii="Times New Roman" w:hAnsi="Times New Roman"/>
          <w:caps w:val="false"/>
          <w:smallCaps w:val="false"/>
          <w:sz w:val="20"/>
        </w:rPr>
        <w:t>” has the meaning specified therefor in Section 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Excess Cash Flow</w:t>
      </w:r>
      <w:r>
        <w:rPr>
          <w:rFonts w:ascii="Times New Roman" w:hAnsi="Times New Roman"/>
          <w:caps w:val="false"/>
          <w:smallCaps w:val="false"/>
          <w:sz w:val="20"/>
        </w:rPr>
        <w:t xml:space="preserve">” means, with respect to any Person for any period, (a) Consolidated EBITDA of such Person and its Subsidiaries for such period, </w:t>
      </w:r>
      <w:r>
        <w:rPr>
          <w:rFonts w:ascii="Times New Roman" w:hAnsi="Times New Roman"/>
          <w:caps w:val="false"/>
          <w:smallCaps w:val="false"/>
          <w:sz w:val="20"/>
          <w:u w:val="single"/>
        </w:rPr>
        <w:t>less</w:t>
      </w:r>
      <w:r>
        <w:rPr>
          <w:rFonts w:ascii="Times New Roman" w:hAnsi="Times New Roman"/>
          <w:caps w:val="false"/>
          <w:smallCaps w:val="false"/>
          <w:sz w:val="20"/>
        </w:rPr>
        <w:t xml:space="preserve"> (b) the sum of, without duplication, and to the extent paid from Internally Generated Cash, (i) all cash principal payments (excluding any principal payments made pursuant to Section 2.05(b), Section 2.05(c)(i) through (iv) or Section 2.05(c)(vi)) on the Loans made during such period (but, in the case of the Revolving Loans, only to the extent that the Total Revolving Credit Commitment is permanently reduced by the amount of such payments), and all cash principal payments on Indebtedness (other than Indebtedness incurred under this Agreement) of such Person or any of its Subsidiaries during such period to the extent such other Indebtedness is permitted to be incurred, and such payments are permitted to be made, under this Agreement (but, in the case of revolving loans, only to the extent that the revolving credit commitment in respect thereof is permanently reduced by the amount of such payments), (ii) all Consolidated Net Interest Expense to the extent paid or payable in cash during such period, (iii) the cash portion of Capital Expenditures made by such Person and its Subsidiaries during such period to the extent permitted to be made under this Agreement (excluding Capital Expenditures to the extent financed (including, for the avoidance of doubt, any vendor financing) through the incurrence of Indebtedness (other than revolving loans) or through an Equity Issuance), (iv) all scheduled loan servicing fees and other similar fees in respect of Indebtedness of such Person or any of its Subsidiaries paid in cash during such period, to the extent such Indebtedness is permitted to be incurred, and such payments are permitted to be made, under this Agreement, (v) taxes, levies, imposts, duties, deductions, withholdings (including backup withholding), assessments, fees or other charges imposed by any Governmental Authority, including any interest, addition to tax or penalties applicable thereto, in each case paid in cash for such period (or for which reserves have been set aside (without duplication)) by such Person and its Subsidiaries for such period, (vi) all other cash expenses, charges, losses and other cash items that were added back in the determination of Consolidated EBITDA for such period, (vii) cash paid during such period with respect to Permitted Acquisitions, except to the extent financed with the proceeds of other Indebtedness (other than revolving loans) or through an Equity Issuance, (viii) the aggregate amount of expenditures actually made in cash during such period that are not otherwise deducted in determining Consolidated EBITDA for such period, (ix) the aggregate amount of all non-cash items that were added back in the determination of Consolidated EBITDA for such period but that were not deducted in arriving at Consolidated Net Income for such period, (x) the aggregate amount of all mandatory prepayments made pursuant to the Loan Documents with the proceeds of a Permitted Disposition or Extraordinary Receipts to the extent such proceeds are included in the calculation of Consolidated Net Income for such period and (xi) the excess, if any, of Working Capital at the end of such period over Working Capital at the beginning of such period (or minus the excess, if any, of Working Capital at the beginning of such period over Working Capital at the end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Exchange Agreements</w:t>
      </w:r>
      <w:r>
        <w:rPr>
          <w:rFonts w:ascii="Times New Roman" w:hAnsi="Times New Roman"/>
          <w:caps w:val="false"/>
          <w:smallCaps w:val="false"/>
          <w:sz w:val="20"/>
        </w:rPr>
        <w:t>” those certain Exchange/Subscription Agreements, each as dated as of the Effective Date, entered into by and among the Administrative Borrower and each Investor (as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Exchange Threshold Amount</w:t>
      </w:r>
      <w:r>
        <w:rPr>
          <w:rFonts w:ascii="Times New Roman" w:hAnsi="Times New Roman"/>
          <w:caps w:val="false"/>
          <w:smallCaps w:val="false"/>
          <w:sz w:val="20"/>
        </w:rPr>
        <w:t xml:space="preserve">” means (i) $82,000,000 </w:t>
      </w:r>
      <w:r>
        <w:rPr>
          <w:rFonts w:ascii="Times New Roman" w:hAnsi="Times New Roman"/>
          <w:caps w:val="false"/>
          <w:smallCaps w:val="false"/>
          <w:sz w:val="20"/>
          <w:u w:val="single"/>
        </w:rPr>
        <w:t>less</w:t>
      </w:r>
      <w:r>
        <w:rPr>
          <w:rFonts w:ascii="Times New Roman" w:hAnsi="Times New Roman"/>
          <w:caps w:val="false"/>
          <w:smallCaps w:val="false"/>
          <w:sz w:val="20"/>
        </w:rPr>
        <w:t xml:space="preserve"> (ii) the aggregate amount of Existing Notes that are subject to an Exchange Agreement on the Effective Date and an Exchange (as defined in the applicable Exchange Agreement) is consummated on or prior to the date that is twelve (12) Business Days following the Effective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if Loans are repaid pursuant to </w:t>
      </w:r>
      <w:r>
        <w:rPr>
          <w:rFonts w:ascii="Times New Roman" w:hAnsi="Times New Roman"/>
          <w:caps w:val="false"/>
          <w:smallCaps w:val="false"/>
          <w:sz w:val="20"/>
          <w:u w:val="single"/>
        </w:rPr>
        <w:t>Section 2.05(c)(vi)</w:t>
      </w:r>
      <w:r>
        <w:rPr>
          <w:rFonts w:ascii="Times New Roman" w:hAnsi="Times New Roman"/>
          <w:caps w:val="false"/>
          <w:smallCaps w:val="false"/>
          <w:sz w:val="20"/>
        </w:rPr>
        <w:t>, the Existing Notes that the Administrative Borrower would have used the proceeds of such Loans to consummate an Exchange with shall be deemed to have been Exchanged solely in connection with the calculation of the Exchange Threshold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Excluded Account</w:t>
      </w:r>
      <w:r>
        <w:rPr>
          <w:rFonts w:ascii="Times New Roman" w:hAnsi="Times New Roman"/>
          <w:caps w:val="false"/>
          <w:smallCaps w:val="false"/>
          <w:sz w:val="20"/>
        </w:rPr>
        <w:t>” means any deposit account or securities account (a) the sole purpose of which is for funding payroll, workers’ compensation claims, 401(k) benefits, health care benefits, retirement benefits or other employee benefits, or which is a withholding tax or fiduciary account or similar operational disbursement account, (b) the sole purpose of which is for funding escrow arrangements or holding funds owned by persons other than the Administrative Borrower and its Subsidiaries, (c) which is a zero-balance account, or (d) any account that, when combined with the account balance of all other accounts (other than deposit accounts and securities accounts described in clauses (a) and (b) above) over which the Administrative Agent does not have “control” (within the meanings of Section 8-106 and 9-106 of the UCC), has an average balance of less than $250,000 or (e) that is segregated and solely used to secure Indebtedness permitted under clause (y) of the definition of “Permitted Indebtedness” with aggregate amounts on deposit in an amount not to exceed 105% of the face amount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Excluded Property</w:t>
      </w:r>
      <w:r>
        <w:rPr>
          <w:rFonts w:ascii="Times New Roman" w:hAnsi="Times New Roman"/>
          <w:caps w:val="false"/>
          <w:smallCaps w:val="false"/>
          <w:sz w:val="20"/>
        </w:rPr>
        <w:t>” has the meaning specified therefor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Excluded Subsidiary</w:t>
      </w:r>
      <w:r>
        <w:rPr>
          <w:rFonts w:ascii="Times New Roman" w:hAnsi="Times New Roman"/>
          <w:caps w:val="false"/>
          <w:smallCaps w:val="false"/>
          <w:sz w:val="20"/>
        </w:rPr>
        <w:t xml:space="preserve">” means any Subsidiary of any Loan Party (a) that is prohibited or restricted by applicable law or by Contractual Obligation (including in respect of assumed Indebtedness permitted hereunder and not created in contemplation of the applicable investment or acquisition) existing on the Effective Date (or, with respect to any Subsidiary acquired by the Administrative Borrower or a Guarantor after the Effective Date (and so long as such Contractual Obligation was not incurred in contemplation of such investment or acquisition), on the date such Subsidiary is so acquired) from providing a Guaranty or if such Guaranty would require governmental (including regulatory) or third party (other than any Loan Party or their respective Affiliates or Subsidiaries) consent, approval, license or authorization is not obtained, (b) that is an Immaterial Subsidiary or (c) where the Administrative Borrower, Administrative Agent and Servicing Agent jointly and reasonably determine that there are likely to be material adverse tax consequences as a result of any Subsidiary providing a Guaranty, or that the burden or cost (including any adverse tax consequences) of providing the Guaranty will be excessive in relation to the benefits to be obtained by the Lenders therefrom;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purposes of the Effective Date, only those Subsidiaries organized or registered in a Specified Jurisdiction shall be required to be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Excluded Swap Obligation</w:t>
      </w:r>
      <w:r>
        <w:rPr>
          <w:rFonts w:ascii="Times New Roman" w:hAnsi="Times New Roman"/>
          <w:caps w:val="false"/>
          <w:smallCaps w:val="false"/>
          <w:sz w:val="20"/>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at the time the guarantee of such Guarantor becomes effective with respect to such related Swap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Excluded Taxes</w:t>
      </w:r>
      <w:r>
        <w:rPr>
          <w:rFonts w:ascii="Times New Roman" w:hAnsi="Times New Roman"/>
          <w:caps w:val="false"/>
          <w:smallCaps w:val="false"/>
          <w:sz w:val="20"/>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Section 2.09, amounts with respect to such Taxes were payable either to such Lender’s assignor immediately before such Lender became a party hereto or to such Lender immediately before it changed its lending office, (c) Taxes attributable to such Recipient’s failure to comply with Section 2.09(d), and (d) any U.S. federal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Executive Order No. 13224</w:t>
      </w:r>
      <w:r>
        <w:rPr>
          <w:rFonts w:ascii="Times New Roman" w:hAnsi="Times New Roman"/>
          <w:caps w:val="false"/>
          <w:smallCaps w:val="false"/>
          <w:sz w:val="20"/>
        </w:rPr>
        <w:t>” means the Executive Order No. 13224 on Terrorist Financing, effective September 24, 2001, as the same has been, or shall hereafter be, renewed, extended, amended or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Existing Agent</w:t>
      </w:r>
      <w:r>
        <w:rPr>
          <w:rFonts w:ascii="Times New Roman" w:hAnsi="Times New Roman"/>
          <w:caps w:val="false"/>
          <w:smallCaps w:val="false"/>
          <w:sz w:val="20"/>
        </w:rPr>
        <w:t>” has the meaning specified therefor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Existing Credit Agreement</w:t>
      </w:r>
      <w:r>
        <w:rPr>
          <w:rFonts w:ascii="Times New Roman" w:hAnsi="Times New Roman"/>
          <w:caps w:val="false"/>
          <w:smallCaps w:val="false"/>
          <w:sz w:val="20"/>
        </w:rPr>
        <w:t>” has the meaning specified therefor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Existing Lenders</w:t>
      </w:r>
      <w:r>
        <w:rPr>
          <w:rFonts w:ascii="Times New Roman" w:hAnsi="Times New Roman"/>
          <w:caps w:val="false"/>
          <w:smallCaps w:val="false"/>
          <w:sz w:val="20"/>
        </w:rPr>
        <w:t>” has the meaning specified therefor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Extraordinary Receipts</w:t>
      </w:r>
      <w:r>
        <w:rPr>
          <w:rFonts w:ascii="Times New Roman" w:hAnsi="Times New Roman"/>
          <w:caps w:val="false"/>
          <w:smallCaps w:val="false"/>
          <w:sz w:val="20"/>
        </w:rPr>
        <w:t>” means any cash received by the Administrative Borrower or any of its Subsidiaries not in the ordinary course of business (and not consisting of proceeds described in Sections 2.05(c)(ii) or (iii) hereof), from (a) pension plan reversions, (b) proceeds of insurance (other than to the extent such insurance proceeds are (i) promptly payable to a Person that is not the Administrative Borrower or any of its Subsidiaries in accordance with applicable Requirements of Law or with Contractual Obligations entered into in the ordinary course of business or (ii) received by the Administrative Borrower or any of its Subsidiaries as reimbursement for any out-of-pocket costs incurred or made by such Person prior to the receipt thereof directly related to the event resulting from the payment of such proceeds), (c) judgments, proceeds of settlements or other consideration of any kind in connection with any cause of action, (d) condemnation awards (and payments in lieu thereof), and (e) indemnity payments (other than to the extent such indemnity payments are (i) promptly payable to a Person that is not an Affiliate of the Administrative Borrower or any of its Subsidiaries or (ii) received by the Administrative Borrower or any of its Subsidiaries as reimbursement for any costs previously incurred or any payment previously made by such Person). For the avoidance of doubt, in no event shall Extraordinary Receipts include duty drawbacks received by the Loan Parties and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Facility</w:t>
      </w:r>
      <w:r>
        <w:rPr>
          <w:rFonts w:ascii="Times New Roman" w:hAnsi="Times New Roman"/>
          <w:caps w:val="false"/>
          <w:smallCaps w:val="false"/>
          <w:sz w:val="20"/>
        </w:rPr>
        <w:t>” means the real property owned in fee by the Administrative Borrower or any of its Subsidiaries and identified on Schedule 1.01(B) and any facility hereafter acquired by the Administrative Borrower or any of its Subsidiaries, including, without limitation, the land on which each such facility is located, all buildings and other improvements thereon, and all fixtures located thereat or used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FASB ASC</w:t>
      </w:r>
      <w:r>
        <w:rPr>
          <w:rFonts w:ascii="Times New Roman" w:hAnsi="Times New Roman"/>
          <w:caps w:val="false"/>
          <w:smallCaps w:val="false"/>
          <w:sz w:val="20"/>
        </w:rPr>
        <w:t>” means the Accounting Standards Codification of the Financial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FATCA</w:t>
      </w:r>
      <w:r>
        <w:rPr>
          <w:rFonts w:ascii="Times New Roman" w:hAnsi="Times New Roman"/>
          <w:caps w:val="false"/>
          <w:smallCaps w:val="false"/>
          <w:sz w:val="20"/>
        </w:rPr>
        <w:t>”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Internal Revenue Code and any fiscal, tax or regulatory legislation, rules or official practices adopted pursuant to any intergovernmental agreement entered into in connection with the implementation of Sections 1471 through 1474 of the Internal Revenue Code and the Treasury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FDA</w:t>
      </w:r>
      <w:r>
        <w:rPr>
          <w:rFonts w:ascii="Times New Roman" w:hAnsi="Times New Roman"/>
          <w:caps w:val="false"/>
          <w:smallCaps w:val="false"/>
          <w:sz w:val="20"/>
        </w:rPr>
        <w:t>” means the U.S. Food and Drug Administration or successor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FD&amp;C Act</w:t>
      </w:r>
      <w:r>
        <w:rPr>
          <w:rFonts w:ascii="Times New Roman" w:hAnsi="Times New Roman"/>
          <w:caps w:val="false"/>
          <w:smallCaps w:val="false"/>
          <w:sz w:val="20"/>
        </w:rPr>
        <w:t>” means the Federal Food, Drug, and Cosmetic Act, 21 U.S.C. § 301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Federal Funds Rate</w:t>
      </w:r>
      <w:r>
        <w:rPr>
          <w:rFonts w:ascii="Times New Roman" w:hAnsi="Times New Roman"/>
          <w:caps w:val="false"/>
          <w:smallCaps w:val="false"/>
          <w:sz w:val="20"/>
        </w:rPr>
        <w:t>” means, for any period, a fluctuating interest rate per annum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If the Federal Funds Rate cannot reasonably be determined in accordance with the preceding sentence, then the Administrative Agent may in its reasonable discretion, and acting in consultation with the Required Lenders, select an alternative method for determining the Federal Funds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Fee Letters</w:t>
      </w:r>
      <w:r>
        <w:rPr>
          <w:rFonts w:ascii="Times New Roman" w:hAnsi="Times New Roman"/>
          <w:caps w:val="false"/>
          <w:smallCaps w:val="false"/>
          <w:sz w:val="20"/>
        </w:rPr>
        <w:t>” means the Administrative Agent Fee Letter and the Servicing Agent Fee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Final Maturity Date</w:t>
      </w:r>
      <w:r>
        <w:rPr>
          <w:rFonts w:ascii="Times New Roman" w:hAnsi="Times New Roman"/>
          <w:caps w:val="false"/>
          <w:smallCaps w:val="false"/>
          <w:sz w:val="20"/>
        </w:rPr>
        <w:t>” means June 6, 2030. If such date is not a Business Day, the “Final Maturity Date” shall be deemed to be the immediately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Financial Statements</w:t>
      </w:r>
      <w:r>
        <w:rPr>
          <w:rFonts w:ascii="Times New Roman" w:hAnsi="Times New Roman"/>
          <w:caps w:val="false"/>
          <w:smallCaps w:val="false"/>
          <w:sz w:val="20"/>
        </w:rPr>
        <w:t>” means (a) the audited consolidated balance sheet of the Administrative Borrower and its Subsidiaries for the Fiscal Year ended June 30, 2024, and the related draft consolidated statement of operations, shareholders’ equity and cash flows for the Fiscal Year then ended, and (b) the unaudited consolidated balance sheet of the Administrative Borrower and its Subsidiaries for the 9 months ended March 31, 2025, and the related consolidated statement of operations, shareholder’s equity and cash flows for the 9 months then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First Out Leverage Ratio</w:t>
      </w:r>
      <w:r>
        <w:rPr>
          <w:rFonts w:ascii="Times New Roman" w:hAnsi="Times New Roman"/>
          <w:caps w:val="false"/>
          <w:smallCaps w:val="false"/>
          <w:sz w:val="20"/>
        </w:rPr>
        <w:t>” means, as of any date of determination, the ratio of (a) the outstanding principal amount of the Term Loan A and the Revolving Loans as of such date to (b) Consolidated EBITDA of the Administrative Borrower and its Subsidiaries for the consecutive four Fiscal Quarter period of the Administrative Borrower and its Subsidiaries ending as of the Fiscal Quarter immediately prior to such date for which financial statements of the Administrative Borrower and its Subsidiaries have been (or were required to have been) received by the Administrative Agent pursuant to Section 7.01(a).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Fiscal Quarter</w:t>
      </w:r>
      <w:r>
        <w:rPr>
          <w:rFonts w:ascii="Times New Roman" w:hAnsi="Times New Roman"/>
          <w:caps w:val="false"/>
          <w:smallCaps w:val="false"/>
          <w:sz w:val="20"/>
        </w:rPr>
        <w:t>” means each fiscal quarter of the Administrative Borrower and its Subsidiaries ending on the last day of each calendar quarter of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Fiscal Year</w:t>
      </w:r>
      <w:r>
        <w:rPr>
          <w:rFonts w:ascii="Times New Roman" w:hAnsi="Times New Roman"/>
          <w:caps w:val="false"/>
          <w:smallCaps w:val="false"/>
          <w:sz w:val="20"/>
        </w:rPr>
        <w:t>” means the fiscal year of the Administrative Borrower and its Subsidiaries ending on June 30th of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Fixed Charge Coverage Ratio</w:t>
      </w:r>
      <w:r>
        <w:rPr>
          <w:rFonts w:ascii="Times New Roman" w:hAnsi="Times New Roman"/>
          <w:caps w:val="false"/>
          <w:smallCaps w:val="false"/>
          <w:sz w:val="20"/>
        </w:rPr>
        <w:t xml:space="preserve">” means, with respect to any Person for any period, the ratio of (a) the result of (i) Consolidated EBITDA of such Person and its Subsidiaries for such period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(ii) Capital Expenditures permitted by this Agreement made in cash by such Person and its Subsidiaries during such period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(iii) income taxes paid or payable in cash by such Person and its Subsidiaries during such period, to (b) the sum of (i) all principal of Indebtedness of such Person and its Subsidiaries scheduled to be paid in cash during such period to the extent there is an equivalent permanent reduction in the commitments or loans thereunder,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(ii) Consolidated Net Interest Expense paid or payable in cash of such Person and its Subsidiaries for such period,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(iii) cash dividends or distributions paid, or the purchase, redemption or other acquisition or retirement for value (including in connection with any merger or consolidation), by such Person or any of its Subsidiaries, in respect of the Equity Interests of such Person or any of its Subsidiaries (other than dividends or distributions paid by a Loan Party to any other Loan Party)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Floor</w:t>
      </w:r>
      <w:r>
        <w:rPr>
          <w:rFonts w:ascii="Times New Roman" w:hAnsi="Times New Roman"/>
          <w:caps w:val="false"/>
          <w:smallCaps w:val="false"/>
          <w:sz w:val="20"/>
        </w:rPr>
        <w:t>” means a rate of interest equal to 2.00%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Foreign Currency Exposure</w:t>
      </w:r>
      <w:r>
        <w:rPr>
          <w:rFonts w:ascii="Times New Roman" w:hAnsi="Times New Roman"/>
          <w:caps w:val="false"/>
          <w:smallCaps w:val="false"/>
          <w:sz w:val="20"/>
        </w:rPr>
        <w:t>” means the net profit of the Borrowers and their Subsidiaries resulting from contracts payable (either mandatorily or optionally) in foreign currencies set forth in Schedule 1.01(D).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Foreign Currency Exposure Hedging Agreements</w:t>
      </w:r>
      <w:r>
        <w:rPr>
          <w:rFonts w:ascii="Times New Roman" w:hAnsi="Times New Roman"/>
          <w:caps w:val="false"/>
          <w:smallCaps w:val="false"/>
          <w:sz w:val="20"/>
        </w:rPr>
        <w:t>” has the meaning specified therefor in Section 7.01(m).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Foreign Lender</w:t>
      </w:r>
      <w:r>
        <w:rPr>
          <w:rFonts w:ascii="Times New Roman" w:hAnsi="Times New Roman"/>
          <w:caps w:val="false"/>
          <w:smallCaps w:val="false"/>
          <w:sz w:val="20"/>
        </w:rPr>
        <w:t>” has the meaning specified therefor in Section 2.09(d).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Foreign Security Documents</w:t>
      </w:r>
      <w:r>
        <w:rPr>
          <w:rFonts w:ascii="Times New Roman" w:hAnsi="Times New Roman"/>
          <w:caps w:val="false"/>
          <w:smallCaps w:val="false"/>
          <w:sz w:val="20"/>
        </w:rPr>
        <w:t>” means, collectively, the Hong Kong Security Documents, the Japanese Security Documents, and the Swiss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Foreign Subsidiary</w:t>
      </w:r>
      <w:r>
        <w:rPr>
          <w:rFonts w:ascii="Times New Roman" w:hAnsi="Times New Roman"/>
          <w:caps w:val="false"/>
          <w:smallCaps w:val="false"/>
          <w:sz w:val="20"/>
        </w:rPr>
        <w:t>” means any Subsidiary of the Administrative Borrower that is not a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Foreign Loan Party</w:t>
      </w:r>
      <w:r>
        <w:rPr>
          <w:rFonts w:ascii="Times New Roman" w:hAnsi="Times New Roman"/>
          <w:caps w:val="false"/>
          <w:smallCaps w:val="false"/>
          <w:sz w:val="20"/>
        </w:rPr>
        <w:t>” means any Loan Party that is not a Domestic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Funding Losses</w:t>
      </w:r>
      <w:r>
        <w:rPr>
          <w:rFonts w:ascii="Times New Roman" w:hAnsi="Times New Roman"/>
          <w:caps w:val="false"/>
          <w:smallCaps w:val="false"/>
          <w:sz w:val="20"/>
        </w:rPr>
        <w:t>” has the meaning specified therefor in Section 2.08.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GAAP</w:t>
      </w:r>
      <w:r>
        <w:rPr>
          <w:rFonts w:ascii="Times New Roman" w:hAnsi="Times New Roman"/>
          <w:caps w:val="false"/>
          <w:smallCaps w:val="false"/>
          <w:sz w:val="20"/>
        </w:rPr>
        <w:t xml:space="preserve">” means generally accepted accounting principles in effect from time to time in the United States, applied on a consistent basis,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the purpose of Section 7.03 hereof and the definitions used therein, “GAAP” shall mean generally accepted accounting principles in effect on the date hereof and consistent with those used in the preparation of the Financial Statements,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if there occurs after the date of this Agreement any change in GAAP that affects in any respect the calculation of any covenant contained in Section 7.03 hereof, the Collateral Agent and the Administrative Borrower shall negotiate in good faith amendments to the provisions of this Agreement that relate to the calculation of such covenant with the intent of having the respective positions of the Lenders and the Borrowers after such change in GAAP conform as nearly as possible to their respective positions as of the date of this Agreement and, until any such amendments have been agreed upon, the covenants in Section 7.03 hereof shall be calculated as if no such change in GAAP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Governance Agreement</w:t>
      </w:r>
      <w:r>
        <w:rPr>
          <w:rFonts w:ascii="Times New Roman" w:hAnsi="Times New Roman"/>
          <w:caps w:val="false"/>
          <w:smallCaps w:val="false"/>
          <w:sz w:val="20"/>
        </w:rPr>
        <w:t>” means that certain Governance Agreement, dated as of the Effective Date, among the Administrative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Governing Documents</w:t>
      </w:r>
      <w:r>
        <w:rPr>
          <w:rFonts w:ascii="Times New Roman" w:hAnsi="Times New Roman"/>
          <w:caps w:val="false"/>
          <w:smallCaps w:val="false"/>
          <w:sz w:val="20"/>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the operating agreement; (c) with respect to any partnership, joint venture, trust or other form of business entity, the partnership, joint venture, declaration or other applicable agreement or documentation evidencing or otherwise relating to its formation or organization, governance and capitalization; and (d) with respect to any of the entities described above, any other agreement, instrument, filing or notice with respect thereto filed in connection with its formation or organization with the applicable Governmental Authority in the jurisdiction of its formation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Governmental Authority</w:t>
      </w:r>
      <w:r>
        <w:rPr>
          <w:rFonts w:ascii="Times New Roman" w:hAnsi="Times New Roman"/>
          <w:caps w:val="false"/>
          <w:smallCaps w:val="false"/>
          <w:sz w:val="20"/>
        </w:rPr>
        <w:t>” means any nation or government, any Federal, state, territory, provincial, city, town, municipality, county, local or other political subdivision thereof or thereto and any department, commission, board, bureau, instrumentality, agency, quasi-governmental body, accrediting or accredited conformity assessment body, court, instrumentality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Guaranteed Obligations</w:t>
      </w:r>
      <w:r>
        <w:rPr>
          <w:rFonts w:ascii="Times New Roman" w:hAnsi="Times New Roman"/>
          <w:caps w:val="false"/>
          <w:smallCaps w:val="false"/>
          <w:sz w:val="20"/>
        </w:rPr>
        <w:t>” has the meaning specified therefor in Section 11.01.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Guarantor</w:t>
      </w:r>
      <w:r>
        <w:rPr>
          <w:rFonts w:ascii="Times New Roman" w:hAnsi="Times New Roman"/>
          <w:caps w:val="false"/>
          <w:smallCaps w:val="false"/>
          <w:sz w:val="20"/>
        </w:rPr>
        <w:t>” means (a) each Subsidiary of the Administrative Borrower listed as a “Guarantor” on the signature pages hereto and (b) each other Person which guarantees, pursuant to Section 7.01(b) or otherwise, all or any part of the Obligations as are, or may from time to time become, parties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Guaranty</w:t>
      </w:r>
      <w:r>
        <w:rPr>
          <w:rFonts w:ascii="Times New Roman" w:hAnsi="Times New Roman"/>
          <w:caps w:val="false"/>
          <w:smallCaps w:val="false"/>
          <w:sz w:val="20"/>
        </w:rPr>
        <w:t>” means, collectively, (a) the guaranty of each Guarantor party hereto contained in Article XI hereof, (b) the Hong Kong Guaranty, (c) the Japanese Guaranty, (d) the Swiss Guaranty, and (e) each other guaranty, in form and substance reasonably satisfactory to the Collateral Agent, made by any other Guarantor in favor of the Collateral Agent for the benefit of the Agents and the Lenders guaranteeing all or part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Hazardous Material</w:t>
      </w:r>
      <w:r>
        <w:rPr>
          <w:rFonts w:ascii="Times New Roman" w:hAnsi="Times New Roman"/>
          <w:caps w:val="false"/>
          <w:smallCaps w:val="false"/>
          <w:sz w:val="20"/>
        </w:rPr>
        <w:t>” means any element, compound or chemical that is defined, listed or otherwise classified as a contaminant, pollutant, toxic or hazardous substance, hazardous waste or words of similar import under any Environmental Law, or that is otherwise regulated under or for which liability or standards of care are imposed pursuant to any Environmental Law, in each case, due to its dangerous or deleterious properties or characteristics, including, without limitation, petroleum, polychlorinated biphenyls, asbestos-containing materials, urea formaldehyde-containing materials, radioactive materials and toxic mold.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Healthcare Law</w:t>
      </w:r>
      <w:r>
        <w:rPr>
          <w:rFonts w:ascii="Times New Roman" w:hAnsi="Times New Roman"/>
          <w:caps w:val="false"/>
          <w:smallCaps w:val="false"/>
          <w:sz w:val="20"/>
        </w:rPr>
        <w:t>” means the laws, Requirements of Law, codes, policies and guidelines of all Governmental Authorities relating to the production, preparation, propagation, compounding, conversion, pricing, marketing, promotion, sale, distribution, coverage, coding, billing, collections, recordkeeping, claims process, documentation requirements, medical necessity, referrals, Permits, the hiring of employees or acquisition of services or supplies form those who have been excluded from government health care programs, quality, safety, privacy, security, licensure, accreditation or reimbursement of a drug, device, biological or other medical item, supply or service, including, without limitation, the FD&amp;C Act as amended from time to time, and the rules, regulations, guidelines, guidance documents and compliance policy guides issued or promulgated thereunder, billing and collection practices relating to the payment for healthcare services or supplies, the federal False Claims Act (31 U.S.C. §§ 3729 et seq.), the federal healthcare program anti-kickback statute (42 U.S.C. § 1320a- 7b),the Stark laws (42 U.S.C. § 1395nn), the Federal Program Fraud Civil Remedies Act (31 U.S.C. § 3801 et seq.), the Travel Act (18 U.S.C. § 1952), the Federal Health Care Fraud Law (18 U.S.C. § 1347) , HIPAA (as defined below), the federal healthcare program civil money penalty and exclusion authorities 42 U.S.C. § 1320a-7a), the Physician Payments Sunshine Act (42 U.S.C. § 1320a-7h), the Exclusion Laws (42 U.S.C. § 1320a-7), the statutes, regulations, guidelines and directives of applicable federal healthcare programs of Medicare, Medicaid and other healthcare programs of other Governmental Authorities, including the Veterans Health Administration and United States Department of Defense healthcare and contracting programs, and the analogous Requirements of Law of any other foreign jurisdiction or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Hedge Accession Agreement</w:t>
      </w:r>
      <w:r>
        <w:rPr>
          <w:rFonts w:ascii="Times New Roman" w:hAnsi="Times New Roman"/>
          <w:caps w:val="false"/>
          <w:smallCaps w:val="false"/>
          <w:sz w:val="20"/>
        </w:rPr>
        <w:t>” means an agreement, for the benefit of the Administrative Agent and the Secured Parties, pursuant to which a Hedge Bank party to a Secured Hedge Agreement agrees to acknowledge Articles IX, X and XII of this Agreement, which Hedge Accession Agreement will be substantially in the form of Exhibit J hereto or otherwise in form and substance reasonably acceptable to the Administrative Agent, the Borrower and the Hedge Bank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Hedge Bank</w:t>
      </w:r>
      <w:r>
        <w:rPr>
          <w:rFonts w:ascii="Times New Roman" w:hAnsi="Times New Roman"/>
          <w:caps w:val="false"/>
          <w:smallCaps w:val="false"/>
          <w:sz w:val="20"/>
        </w:rPr>
        <w:t>” means any Person listed on Schedule 1.01(C) (as supplemented from time to time in consultation with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Hedge Cap</w:t>
      </w:r>
      <w:r>
        <w:rPr>
          <w:rFonts w:ascii="Times New Roman" w:hAnsi="Times New Roman"/>
          <w:caps w:val="false"/>
          <w:smallCaps w:val="false"/>
          <w:sz w:val="20"/>
        </w:rPr>
        <w:t>” means $7,500,000.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Hedging Agreement</w:t>
      </w:r>
      <w:r>
        <w:rPr>
          <w:rFonts w:ascii="Times New Roman" w:hAnsi="Times New Roman"/>
          <w:caps w:val="false"/>
          <w:smallCaps w:val="false"/>
          <w:sz w:val="20"/>
        </w:rPr>
        <w:t>” means any interest rate, foreign currency, commodity or equity swap, collar, cap, floor or forward rate agreement, or other agreement or arrangement designed to protect against fluctuations in interest rates or currency, commodity or equity values (including, without limitation, any option with respect to any of the foregoing and any combination of the foregoing agreements or arrangements), and any confirmation executed in connection with any such agreement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Hedging Obligations</w:t>
      </w:r>
      <w:r>
        <w:rPr>
          <w:rFonts w:ascii="Times New Roman" w:hAnsi="Times New Roman"/>
          <w:caps w:val="false"/>
          <w:smallCaps w:val="false"/>
          <w:sz w:val="20"/>
        </w:rPr>
        <w:t>” means, with respect to any Person, all obligations and liabilities, contingent or otherwise, of such Person under Hedging Agreements, after giving effect to enforceable netting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Highest Lawful Rate</w:t>
      </w:r>
      <w:r>
        <w:rPr>
          <w:rFonts w:ascii="Times New Roman" w:hAnsi="Times New Roman"/>
          <w:caps w:val="false"/>
          <w:smallCaps w:val="false"/>
          <w:sz w:val="20"/>
        </w:rPr>
        <w:t>” means, with respect to any Agent or any Lender, the maximum non-usurious interest rate, if any, that at any time or from time to time may be contracted for, taken, reserved, charged or received on the Obligations under laws applicable to such Agent or such Lender which are currently in effect or, to the extent allowed by law, under such applicable laws which may hereafter be in effect and which allow a higher maximum non- usurious interest rate than applicable laws now allow.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HIPAA</w:t>
      </w:r>
      <w:r>
        <w:rPr>
          <w:rFonts w:ascii="Times New Roman" w:hAnsi="Times New Roman"/>
          <w:caps w:val="false"/>
          <w:smallCaps w:val="false"/>
          <w:sz w:val="20"/>
        </w:rPr>
        <w:t>” means the (a) Health Insurance Portability and Accountability Act of 1996; (b) the Health Information Technology for Economic and Clinical Health Act (Title XIII of the American Recovery and Reinvestment Act of 2009); (c) any state and local Laws regulating the privacy and/or security of protected health information, including state laws providing for notification of breach of privacy or security of protected health information, and (d) and the analogous Requirements of Law of any other foreign jurisdiction or country, in each case as amended, modified or supplemented from time to time, and together with all successor statutes thereto and all rules and regulations promulgated from time to time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Holdout Lender</w:t>
      </w:r>
      <w:r>
        <w:rPr>
          <w:rFonts w:ascii="Times New Roman" w:hAnsi="Times New Roman"/>
          <w:caps w:val="false"/>
          <w:smallCaps w:val="false"/>
          <w:sz w:val="20"/>
        </w:rPr>
        <w:t>” has the meaning specified therefor in Section 12.02(c).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Hong Kong</w:t>
      </w:r>
      <w:r>
        <w:rPr>
          <w:rFonts w:ascii="Times New Roman" w:hAnsi="Times New Roman"/>
          <w:caps w:val="false"/>
          <w:smallCaps w:val="false"/>
          <w:sz w:val="20"/>
        </w:rPr>
        <w:t>” means the Hong Kong Special Administrative Region of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Hong Kong Guarantor</w:t>
      </w:r>
      <w:r>
        <w:rPr>
          <w:rFonts w:ascii="Times New Roman" w:hAnsi="Times New Roman"/>
          <w:caps w:val="false"/>
          <w:smallCaps w:val="false"/>
          <w:sz w:val="20"/>
        </w:rPr>
        <w:t>” means Accuray Asia Limited, a limited liability company incorporated under the laws of Hong Kong with business registration number 36058370 and registered office at Room no. 401, 4/F, Empire Centre, No. 68 Mody Road, Tsim Sha Tsui,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Hong Kong Guaranty</w:t>
      </w:r>
      <w:r>
        <w:rPr>
          <w:rFonts w:ascii="Times New Roman" w:hAnsi="Times New Roman"/>
          <w:caps w:val="false"/>
          <w:smallCaps w:val="false"/>
          <w:sz w:val="20"/>
        </w:rPr>
        <w:t>” means the Guaranty granted by the Hong Kong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Hong Kong Security Documents</w:t>
      </w:r>
      <w:r>
        <w:rPr>
          <w:rFonts w:ascii="Times New Roman" w:hAnsi="Times New Roman"/>
          <w:caps w:val="false"/>
          <w:smallCaps w:val="false"/>
          <w:sz w:val="20"/>
        </w:rPr>
        <w:t>” means the Hong Kong law-governed agreements, instruments and documents executed by the Loan Parties party thereto (including the Hong Kong Guarantor) in connection with this Agreement that are intended to create, perfect or evidence Liens to secure the Secured Obligations, including those set forth on Schedule 7.01(u) and any other similar or related agreements, instruments, and documents executed by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IDE</w:t>
      </w:r>
      <w:r>
        <w:rPr>
          <w:rFonts w:ascii="Times New Roman" w:hAnsi="Times New Roman"/>
          <w:caps w:val="false"/>
          <w:smallCaps w:val="false"/>
          <w:sz w:val="20"/>
        </w:rPr>
        <w:t>” means an application, including an application filed with a Governmental Authority, for authorization to commence human clinical studies, including (a) an Investigational Device Exemption as defined in the FD&amp;C Act or FDA regulations with the FDA, (b) an abbreviated IDE as specified in FDA regulations in 21 C.F.R. § 812.2(b), (c) any equivalent of a United States IDE in other countries or regulatory jurisdictions, (d) all amendments, variations, extensions and renewals thereof that may be filed with respect to the foregoing and (e) all related documents and correspondence thereto, including documents and correspondence with IRBs or IECs.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IECs</w:t>
      </w:r>
      <w:r>
        <w:rPr>
          <w:rFonts w:ascii="Times New Roman" w:hAnsi="Times New Roman"/>
          <w:caps w:val="false"/>
          <w:smallCaps w:val="false"/>
          <w:sz w:val="20"/>
        </w:rPr>
        <w:t>” means independent ethics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Immaterial Subsidiary</w:t>
      </w:r>
      <w:r>
        <w:rPr>
          <w:rFonts w:ascii="Times New Roman" w:hAnsi="Times New Roman"/>
          <w:caps w:val="false"/>
          <w:smallCaps w:val="false"/>
          <w:sz w:val="20"/>
        </w:rPr>
        <w:t xml:space="preserve">”: as of the last day of each fiscal quarter of the Administrative Borrower and at any other date of determination, any Subsidiary of the Administrative Borrower (other than a Guarantor) designated as such by the Administrative Borrower in writing and which as of such date (a) holds assets representing 5.0% or less of the Administrative Borrower’s consolidated total assets as of such date (determined in accordance with GAAP and excluding investments in Subsidiaries and intercompany receivables that would be eliminated in consolidated financial statements, and goodwill), (b) has generated less than 5.0% of the Administrative Borrower’s consolidated total revenues (excluding intercompany revenue that would be eliminated in consolidated financial statements) determined in accordance with GAAP for the 4 Fiscal Quarter period ending on the last day of the most recent period for which financial statements have been delivered after the Effective Date pursuant to Section 7.01(a)(ii);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all Subsidiaries that are individually “Immaterial Subsidiaries” shall not have aggregate consolidated total assets (excluding investments in subsidiaries and intercompany receivables that would be eliminated in consolidated financial statements, and goodwill) that would represent 10.0% or more of the Administrative Borrower’s consolidated total assets as of such date or have generated 10.0% or more of the Administrative Borrower’s consolidated total revenues (excluding any intercompany revenue that would be eliminated in consolidated financial statements) for such 4 Fiscal Quarter period, in each case, determined in accordance with GAAP, (c) owns no Material Intellectual Property, and (d) is not the owner of Capital Stock of any Subsidiary that would not constitute an Immaterial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Indebtedness</w:t>
      </w:r>
      <w:r>
        <w:rPr>
          <w:rFonts w:ascii="Times New Roman" w:hAnsi="Times New Roman"/>
          <w:caps w:val="false"/>
          <w:smallCaps w:val="false"/>
          <w:sz w:val="20"/>
        </w:rPr>
        <w:t>” means, with respect to any Person, without duplication, (a) all indebtedness of such Person for borrowed money; (b) all obligations of such Person for the deferred purchase price of property or services (other than trade payables, accrued expenses payable or other accounts payable incurred in the ordinary course of such Person’s business and not outstanding for more than 60 days after the date such payable was due (or being contested in good faith and by appropriate proceedings promptly initiated and diligently conducted, and a reserve or other appropriate provision, if any, as shall be required by GAAP shall have been made therefor) and any earn-out, purchase price adjustment or similar obligation until such obligation appears in the liabilities section of the balance sheet of such Person or has not been paid after having become due and payable); (c) all obligations of such Person evidenced by bonds, debentures, notes or other similar instruments or upon which interest payments are customarily made; (d) all reimbursement, payment or other obligations and liabilities of such Person created or arising under any conditional sales or other title retention agreement with respect to property used and/or acquired by such Person, even though the rights and remedies of the lessor, seller and/or lender thereunder may be limited to repossession or sale of such property; (e) all Capitalized Lease Obligations of such Person; (f) all obligations and liabilities, contingent or otherwise, of such Person, in respect of letters of credit, acceptances and similar facilities (except to the extent such obligations are unfunded or cash collateralized); (g) all obligations and liabilities, contingent or otherwise, of such Person under Hedging Agreements, after giving effect to enforceable netting arrangements; (h) all monetary obligations under any receivables factoring, receivable sales or similar transactions and all monetary obligations under any synthetic lease, tax ownership/operating lease, off-balance sheet financing or similar financing; (i) all Contingent Obligations in respect of Indebtedness described in clauses (a) through (h) of this definition and clauses (j) through (k) of this definition; (j) preferred equity of any Subsidiary of the Administrative Borrower and all Disqualified Equity Interests; and (k) all obligations referred to in clauses (a) through (j) of this definition of another Person secured by (or for which the holder of such Indebtedness has an existing right, contingent or otherwise, to be secured by) a Lien upon property owned by such Person, even though such Person has not assumed or become liable for the payment of such Indebtedness. The Indebtedness of any Person shall include the Indebtedness of any partnership of or joint venture in which such Person is a general partner or a joint venturer to the extent such Person would be liable therefor under applicable Requirements of Law or any agreement or instrument by virtue of such Person’s ownership interest in such Person, except to the extent the terms of such Indebtedness expressly provided that such Person is not liable therefor. Notwithstanding the foregoing, the term “Indebtedness” shall exclude (i) trade payables, accrued expenses payable or other accounts payable incurred in the ordinary course of such Person’s business and prepayments of deposits received from clients or customers in the ordinary course of business and not outstanding for more than 60 days after the date such payable was due (or being contested in good faith and by appropriate proceedings promptly initiated and diligently conducted, and a reserve or other appropriate provision, if any, as shall be required by GAAP shall have been made therefor), (ii) accruals for payroll and other similar liabilities accrued in the ordinary course of business, (iii) purchase price holdbacks in respect of a portion of the purchase price of an asset to satisfy warranty or other unperformed obligations of the respective seller, (iv) any obligations in respect of worker’s compensation claims, early retirement or termination obligations or contributions or similar claims, obligations or contributions or social security or wage Taxes in the ordinary course of business, (v) non-compete or consulting obligations to which the seller in a Permitted Acquisition or Permitted Investment may become entitled, (vii) any earn-out, purchase price adjustment or similar obligation until such obligation appears in the liabilities section of the balance sheet of such Person or has not been paid after having become due and payable, (vii) customary reservations or retentions of title under agreements with suppliers entered into in the ordinary course of business and (viii) Non-Financing Lease Obligations. The aggregate amount of Indebtedness described (i) in clause (k) that is limited in recourse to specific property shall be valued at the lesser of the aggregate unpaid amount of such Indebtedness and the fair market value of such property and (ii) in clause (g) shall be, on any date, deemed to be the Swap Termination Value thereof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Indemnified Matters</w:t>
      </w:r>
      <w:r>
        <w:rPr>
          <w:rFonts w:ascii="Times New Roman" w:hAnsi="Times New Roman"/>
          <w:caps w:val="false"/>
          <w:smallCaps w:val="false"/>
          <w:sz w:val="20"/>
        </w:rPr>
        <w:t>” has the meaning specified therefor in Section 12.15.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Indemnified Taxes</w:t>
      </w:r>
      <w:r>
        <w:rPr>
          <w:rFonts w:ascii="Times New Roman" w:hAnsi="Times New Roman"/>
          <w:caps w:val="false"/>
          <w:smallCaps w:val="false"/>
          <w:sz w:val="20"/>
        </w:rPr>
        <w:t>” means (a) Taxes, other than Excluded Taxes, imposed on or with respect to any payment made by or on account of any obligation of any Loan Party under any Loan Document and (b) to the extent not otherwise described in clause (a),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Indemnitees</w:t>
      </w:r>
      <w:r>
        <w:rPr>
          <w:rFonts w:ascii="Times New Roman" w:hAnsi="Times New Roman"/>
          <w:caps w:val="false"/>
          <w:smallCaps w:val="false"/>
          <w:sz w:val="20"/>
        </w:rPr>
        <w:t>” has the meaning specified therefor in Section 12.15.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Initial Declined Proceeds</w:t>
      </w:r>
      <w:r>
        <w:rPr>
          <w:rFonts w:ascii="Times New Roman" w:hAnsi="Times New Roman"/>
          <w:caps w:val="false"/>
          <w:smallCaps w:val="false"/>
          <w:sz w:val="20"/>
        </w:rPr>
        <w:t>” has the meaning specified therefor in Section 2.05(g).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Insolvency Proceeding</w:t>
      </w:r>
      <w:r>
        <w:rPr>
          <w:rFonts w:ascii="Times New Roman" w:hAnsi="Times New Roman"/>
          <w:caps w:val="false"/>
          <w:smallCaps w:val="false"/>
          <w:sz w:val="20"/>
        </w:rPr>
        <w:t>” means any proceeding commenced by or against any Person under any provision of any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Intellectual Property</w:t>
      </w:r>
      <w:r>
        <w:rPr>
          <w:rFonts w:ascii="Times New Roman" w:hAnsi="Times New Roman"/>
          <w:caps w:val="false"/>
          <w:smallCaps w:val="false"/>
          <w:sz w:val="20"/>
        </w:rPr>
        <w:t>” has the meaning specified therefor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Intellectual Property Security Agreement</w:t>
      </w:r>
      <w:r>
        <w:rPr>
          <w:rFonts w:ascii="Times New Roman" w:hAnsi="Times New Roman"/>
          <w:caps w:val="false"/>
          <w:smallCaps w:val="false"/>
          <w:sz w:val="20"/>
        </w:rPr>
        <w:t>” means an intellectual property security agreement entered into between a Loan Party and the Collateral Agent pursuant to the terms of the Security Agreement in form and substance satisfactory to the Collateral Agent, together with each other intellectual property security agreement and supplement thereto delivered pursuant to Section 7.01(b), in each case as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Intercompany Subordination Agreement</w:t>
      </w:r>
      <w:r>
        <w:rPr>
          <w:rFonts w:ascii="Times New Roman" w:hAnsi="Times New Roman"/>
          <w:caps w:val="false"/>
          <w:smallCaps w:val="false"/>
          <w:sz w:val="20"/>
        </w:rPr>
        <w:t>” means an Intercompany Subordination Agreement made by the Administrative Borrower and its Subsidiaries in favor of the Collateral Agent for the benefit of the Agents and the Lenders, in form and substance reasonably satisfactory to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Interest Payment Date</w:t>
      </w:r>
      <w:r>
        <w:rPr>
          <w:rFonts w:ascii="Times New Roman" w:hAnsi="Times New Roman"/>
          <w:caps w:val="false"/>
          <w:smallCaps w:val="false"/>
          <w:sz w:val="20"/>
        </w:rPr>
        <w:t>” means (a) as to any SOFR Loan, the last day of each Interest Period therefor and the Final Maturity Date, and (b) as to any Reference Rate Loan, the last day of each calendar month and the Final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Interest Period</w:t>
      </w:r>
      <w:r>
        <w:rPr>
          <w:rFonts w:ascii="Times New Roman" w:hAnsi="Times New Roman"/>
          <w:caps w:val="false"/>
          <w:smallCaps w:val="false"/>
          <w:sz w:val="20"/>
        </w:rPr>
        <w:t xml:space="preserve">” means, with respect to each SOFR Loan, a period commencing on the date of the making of such SOFR Loan (or the continuation of a SOFR Loan or the conversion of a Reference Rate Loan to a SOFR Loan) and ending 3 months thereafter;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(a) if any Interest Period would end on a day that is not a Business Day, such Interest Period shall be extended (subject to clauses (c)-(e) below) to the next succeeding Business Day, (b) interest shall accrue at the applicable rate based upon Adjusted Term SOFR from and including the first day of each Interest Period to, but excluding, the day on which any Interest Period expires, (c) any Interest Period that would end on a day that is not a Business Day shall be extended to the next succeeding Business Day unless such Business Day falls in another calendar month, in which case such Interest Period shall end on the next preceding Business Day, (d)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3 months after the date on which the Interest Period began, as applicable, and (e) the Borrowers may not elect an Interest Period which will end after the Final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Internal Revenue Code</w:t>
      </w:r>
      <w:r>
        <w:rPr>
          <w:rFonts w:ascii="Times New Roman" w:hAnsi="Times New Roman"/>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Internally Generated Cash</w:t>
      </w:r>
      <w:r>
        <w:rPr>
          <w:rFonts w:ascii="Times New Roman" w:hAnsi="Times New Roman"/>
          <w:caps w:val="false"/>
          <w:smallCaps w:val="false"/>
          <w:sz w:val="20"/>
        </w:rPr>
        <w:t>” means, with respect to any period, any cash of the Administrative Borrower or any of its Subsidiaries generated from the business operations of the Administrative Borrower and its Subsidiaries during such period, excluding the proceeds of any Disposition, Extraordinary Receipts and any cash that is generated from an incurrence of Indebtedness, an issuance of Equity Interests or a capital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Inventory</w:t>
      </w:r>
      <w:r>
        <w:rPr>
          <w:rFonts w:ascii="Times New Roman" w:hAnsi="Times New Roman"/>
          <w:caps w:val="false"/>
          <w:smallCaps w:val="false"/>
          <w:sz w:val="20"/>
        </w:rPr>
        <w:t>” has the meaning set forth in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Investment</w:t>
      </w:r>
      <w:r>
        <w:rPr>
          <w:rFonts w:ascii="Times New Roman" w:hAnsi="Times New Roman"/>
          <w:caps w:val="false"/>
          <w:smallCaps w:val="false"/>
          <w:sz w:val="20"/>
        </w:rPr>
        <w:t>” means, with respect to any Person, (a) any investment by such Person in any other Person (including Affiliates) in the form of loans, guarantees, advances or other extensions of credit (excluding Accounts arising in the ordinary course of business), capital contributions or acquisitions of Indebtedness (including, any bonds, notes, debentures or other debt securities), Equity Interests, or all or substantially all of the assets of such other Person (or of any division or business line of such other Person), (b) the purchase or ownership of any futures contract or liability for the purchase or sale of currency or other commodities at a future date in the nature of a futures contract, or (c) any investment in any other items that are or would be classified as investments on a balance sheet of such Person prepared in accordance with GAAP. The amount of any Investment at any time shall be the amount actually invested (measured at the time made (which, in the case of any Investment constituting the contribution of an asset or property, shall be based on the fair market value of such asset or property at the time such Investment is made)), without adjustment for subsequent changes in the value of such Investment (including any write-downs or write-offs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Investors</w:t>
      </w:r>
      <w:r>
        <w:rPr>
          <w:rFonts w:ascii="Times New Roman" w:hAnsi="Times New Roman"/>
          <w:caps w:val="false"/>
          <w:smallCaps w:val="false"/>
          <w:sz w:val="20"/>
        </w:rPr>
        <w:t>” has the meaning provided in the Amendment No. 3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IRB</w:t>
      </w:r>
      <w:r>
        <w:rPr>
          <w:rFonts w:ascii="Times New Roman" w:hAnsi="Times New Roman"/>
          <w:caps w:val="false"/>
          <w:smallCaps w:val="false"/>
          <w:sz w:val="20"/>
        </w:rPr>
        <w:t>” means Institutional Review Board as defined in 21 C.F.R. Part 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Japanese Guarantor</w:t>
      </w:r>
      <w:r>
        <w:rPr>
          <w:rFonts w:ascii="Times New Roman" w:hAnsi="Times New Roman"/>
          <w:caps w:val="false"/>
          <w:smallCaps w:val="false"/>
          <w:sz w:val="20"/>
        </w:rPr>
        <w:t>” means Accuray Japan K.K.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Japanese Guaranty</w:t>
      </w:r>
      <w:r>
        <w:rPr>
          <w:rFonts w:ascii="Times New Roman" w:hAnsi="Times New Roman"/>
          <w:caps w:val="false"/>
          <w:smallCaps w:val="false"/>
          <w:sz w:val="20"/>
        </w:rPr>
        <w:t>” means the Guaranty granted by the Japanese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Japanese Security Documents</w:t>
      </w:r>
      <w:r>
        <w:rPr>
          <w:rFonts w:ascii="Times New Roman" w:hAnsi="Times New Roman"/>
          <w:caps w:val="false"/>
          <w:smallCaps w:val="false"/>
          <w:sz w:val="20"/>
        </w:rPr>
        <w:t>” means the Japanese law-governed agreements, instruments and documents executed by the Loan Parties party thereto (including the Japanese Guarantor) in connection with this Agreement that are intended to create, perfect or evidence Liens to secure the Secured Obligations, including those set forth on Schedule 7.01(u) and any other similar or related agreements, instruments, and documents executed by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Joinder Agreement</w:t>
      </w:r>
      <w:r>
        <w:rPr>
          <w:rFonts w:ascii="Times New Roman" w:hAnsi="Times New Roman"/>
          <w:caps w:val="false"/>
          <w:smallCaps w:val="false"/>
          <w:sz w:val="20"/>
        </w:rPr>
        <w:t>” means a Joinder Agreement, substantially in the form of Exhibit A, duly executed by a Subsidiary of a Loan Party made a party hereto pursuant to Section 7.01(b).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Joint Escrow Release</w:t>
      </w:r>
      <w:r>
        <w:rPr>
          <w:rFonts w:ascii="Times New Roman" w:hAnsi="Times New Roman"/>
          <w:caps w:val="false"/>
          <w:smallCaps w:val="false"/>
          <w:sz w:val="20"/>
        </w:rPr>
        <w:t>” has the meaning assigned to the term “Joint Escrow Release” in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KPI Report</w:t>
      </w:r>
      <w:r>
        <w:rPr>
          <w:rFonts w:ascii="Times New Roman" w:hAnsi="Times New Roman"/>
          <w:caps w:val="false"/>
          <w:smallCaps w:val="false"/>
          <w:sz w:val="20"/>
        </w:rPr>
        <w:t>” means a report in form and substance substantially similar to the report shared with the Administrative Borrower by the Administrative Agent on May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Lease</w:t>
      </w:r>
      <w:r>
        <w:rPr>
          <w:rFonts w:ascii="Times New Roman" w:hAnsi="Times New Roman"/>
          <w:caps w:val="false"/>
          <w:smallCaps w:val="false"/>
          <w:sz w:val="20"/>
        </w:rPr>
        <w:t>” means any lease, sublease or license of, or other agreement granting a possessory interest in, real property to which any Loan Party or any of its Subsidiaries is a party as lessor, lessee, sublessor, sublessee, licensor or licensee.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Lender</w:t>
      </w:r>
      <w:r>
        <w:rPr>
          <w:rFonts w:ascii="Times New Roman" w:hAnsi="Times New Roman"/>
          <w:caps w:val="false"/>
          <w:smallCaps w:val="false"/>
          <w:sz w:val="20"/>
        </w:rPr>
        <w:t>” has the meaning specified therefor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Lien</w:t>
      </w:r>
      <w:r>
        <w:rPr>
          <w:rFonts w:ascii="Times New Roman" w:hAnsi="Times New Roman"/>
          <w:caps w:val="false"/>
          <w:smallCaps w:val="false"/>
          <w:sz w:val="20"/>
        </w:rPr>
        <w:t>” means any mortgage, deed of trust, deed to secure debt, pledge, lien (statutory or otherwise), security interest, charge or other encumbrance or security or preferential arrangement of any nature, including, without limitation, any conditional sale or title retention arrangement, any Capitalized Lease and any collateral assignment, deposit arrangement or financing lease intended as, or having the effect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Liquidity</w:t>
      </w:r>
      <w:r>
        <w:rPr>
          <w:rFonts w:ascii="Times New Roman" w:hAnsi="Times New Roman"/>
          <w:caps w:val="false"/>
          <w:smallCaps w:val="false"/>
          <w:sz w:val="20"/>
        </w:rPr>
        <w:t xml:space="preserve">” means the result of (a) Availability, </w:t>
      </w:r>
      <w:r>
        <w:rPr>
          <w:rFonts w:ascii="Times New Roman" w:hAnsi="Times New Roman"/>
          <w:caps w:val="false"/>
          <w:smallCaps w:val="false"/>
          <w:sz w:val="20"/>
          <w:u w:val="single"/>
        </w:rPr>
        <w:t>plus</w:t>
      </w:r>
      <w:r>
        <w:rPr>
          <w:rFonts w:ascii="Times New Roman" w:hAnsi="Times New Roman"/>
          <w:caps w:val="false"/>
          <w:smallCaps w:val="false"/>
          <w:sz w:val="20"/>
        </w:rPr>
        <w:t xml:space="preserve"> (b) Qualified Cash,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(c) the amount of trade payables that are outstanding for more than 60 days after the date such payable was due (other than trade payables that are being contested in good faith and by appropriate proceedings promptly initiated and diligently conducted, and a reserve or other appropriate provision, if any, as shall be required by GAAP shall have been made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LLC Division</w:t>
      </w:r>
      <w:r>
        <w:rPr>
          <w:rFonts w:ascii="Times New Roman" w:hAnsi="Times New Roman"/>
          <w:caps w:val="false"/>
          <w:smallCaps w:val="false"/>
          <w:sz w:val="20"/>
        </w:rPr>
        <w:t>” means the division of a limited liability company into two or more limited liability companies pursuant to a “plan of division” or similar method pursuant to Section 18-217 of the Delaware Limited Liability Company Act (or any similar statute or provision under applicable law in any other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Loan</w:t>
      </w:r>
      <w:r>
        <w:rPr>
          <w:rFonts w:ascii="Times New Roman" w:hAnsi="Times New Roman"/>
          <w:caps w:val="false"/>
          <w:smallCaps w:val="false"/>
          <w:sz w:val="20"/>
        </w:rPr>
        <w:t>” means any Term Loan or Revolving Loan made by an Agent or a Lender to the Borrowers pursuant to Article 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Loan Account</w:t>
      </w:r>
      <w:r>
        <w:rPr>
          <w:rFonts w:ascii="Times New Roman" w:hAnsi="Times New Roman"/>
          <w:caps w:val="false"/>
          <w:smallCaps w:val="false"/>
          <w:sz w:val="20"/>
        </w:rPr>
        <w:t>” means an account maintained hereunder by the Administrative Agent on its books of account at the Payment Office, and with respect to the Borrowers, in which the Borrowers will be charged with all Loans made to, and all other Obligations incurred by,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Loan Document</w:t>
      </w:r>
      <w:r>
        <w:rPr>
          <w:rFonts w:ascii="Times New Roman" w:hAnsi="Times New Roman"/>
          <w:caps w:val="false"/>
          <w:smallCaps w:val="false"/>
          <w:sz w:val="20"/>
        </w:rPr>
        <w:t>” means this Agreement, any Control Agreement, the Fee Letters, any Guaranty, the Intercompany Subordination Agreement, any Joinder Agreement, any Security Document, any landlord waiver, any collateral access agreement, any Perfection Certificate, any document specified in writing by the Administrative Borrower and the Administrative Agent as a “Loan Document” and any other agreement, instrument and other document executed and delivered pursuant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Loan Party</w:t>
      </w:r>
      <w:r>
        <w:rPr>
          <w:rFonts w:ascii="Times New Roman" w:hAnsi="Times New Roman"/>
          <w:caps w:val="false"/>
          <w:smallCaps w:val="false"/>
          <w:sz w:val="20"/>
        </w:rPr>
        <w:t>” means any Borrower and any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Make-Whole Amount</w:t>
      </w:r>
      <w:r>
        <w:rPr>
          <w:rFonts w:ascii="Times New Roman" w:hAnsi="Times New Roman"/>
          <w:caps w:val="false"/>
          <w:smallCaps w:val="false"/>
          <w:sz w:val="20"/>
        </w:rPr>
        <w:t>” means, as of any date of determination, an amount equal to (i) the difference (which shall not be less than zero) between (A) the aggregate amount of interest (calculated, for purposes of this definition, as if no PIK Election had been made for each interest payment hereunder and assuming that Adjusted Term SOFR for the Interest Period then in effect on the date of the applicable reduction, repayment or prepayment (or deemed prepayment in the case of an acceleration of the Loans) which would have otherwise been payable on the principal amount of the Term Loans paid on such date and, if applicable, the aggregate principal amount of Revolving Credit Commitment reduced or terminated on such date (assuming for purposes of calculating the amount of interest that an amount equal to the Average Utilization Amount has been drawn) from the date of the occurrence of the Applicable Premium Trigger Event until the date that is the 24-month anniversary of the Amendment No. 2 Effective Date minus (B) the aggregate amount of interest the Lenders would earn if the prepaid (or deemed prepayment in the case of an acceleration of the Loans) or reduced principal amount of the Term Loans or the aggregate principal amount of the Revolving Credit Commitments reduced or terminated (assuming for purposes of calculating the amount of interest that an amount equal to the Average Utilization Amount has been drawn), in each case, were reinvested for the period from the date of prepayment (or deemed prepayment in the case of an acceleration of the Loans) or reduction until the 24-month anniversary of the Amendment No. 2 Effective Date at the Treasury Rate plus 0.50%, plus (ii) an amount equal to the Applicable Premium that would otherwise be payable as if such Applicable Premium Trigger Event had occurred on the day after the date that is the 24 month anniversary of the Amendment No. 2 Effective Date; provided that, for purposes hereof, the “Average Utilization Amount” shall mean the aggregate amount equal to the daily average unutilized amount of the Revolving Credit Commitments during the twelve months immediately preceding such reduction or termination (or, if shorter, the period commencing on the Amendment No. 2 Effective Date and ending on the date of such reduction or termination). As used in this definition, with respect to the Delayed Draw Term Loans only, each reference to the Amendment No. 2 Effective Date shall be deemed to be a reference to the Delayed Draw Borrowing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means a material adverse effect on any of (a) the operations, assets, liabilities or financial condition of the Loan Parties taken as a whole, (b) the ability of the Loan Parties taken as a whole to perform any of their payment obligations or other material obligations under the Loan Documents, (c) the legality, validity or enforceability of this Agreement or any other Loan Document, (d) the rights and remedies of any Agent or the Lenders under the Loan Documents, or (e) the validity, perfection or priority of a Lien in favor of the Collateral Agent for the benefit of the Agents and the Lenders on Collateral having a fair market value in excess of $5,000,000 and, in the case of this clause (e), such material adverse effect shall continue for more than five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Material Asset</w:t>
      </w:r>
      <w:r>
        <w:rPr>
          <w:rFonts w:ascii="Times New Roman" w:hAnsi="Times New Roman"/>
          <w:caps w:val="false"/>
          <w:smallCaps w:val="false"/>
          <w:sz w:val="20"/>
        </w:rPr>
        <w:t>” means any Material Intellectual Property, Facility or real property interest (whether fee or leasehold) or Material Contract that, in each case, is material to the business (or any business segment) of the Administrative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Material Contract</w:t>
      </w:r>
      <w:r>
        <w:rPr>
          <w:rFonts w:ascii="Times New Roman" w:hAnsi="Times New Roman"/>
          <w:caps w:val="false"/>
          <w:smallCaps w:val="false"/>
          <w:sz w:val="20"/>
        </w:rPr>
        <w:t>” means, with respect to any Loan Party, each contract or agreement to which such Person or any of its Subsidiaries is a party involving aggregate consideration payable to or by such Person or such Subsidiary of $5,000,000 or more in any Fiscal Year (other than purchase orders in the ordinary course of the business of such Person or such Subsidiary and other than contracts that by their terms may be terminated by such Person or Subsidiary in the ordinary course of its business upon less than 60 days’ notice without penalty or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Material Intellectual Property</w:t>
      </w:r>
      <w:r>
        <w:rPr>
          <w:rFonts w:ascii="Times New Roman" w:hAnsi="Times New Roman"/>
          <w:caps w:val="false"/>
          <w:smallCaps w:val="false"/>
          <w:sz w:val="20"/>
        </w:rPr>
        <w:t>” means Intellectual Property that is material (individually or in the aggregate) to the business or operations of the Administrative Borrower or any of its Subsidiaries, including to the revenue generation of any Loan Party. Notwithstanding anything to the contrary in this Agreement or any other Loan Document, no transfer or grant (including any Investment, Restricted Payment, Disposition, asset sale, Sale and Leaseback Transaction, transfer, dividend or otherwise) of legal or beneficial ownership of, or exclusive license to, any Material Intellectual Property by the Administrative Borrower or any Loan Party may be made to any Subsidiary that is not a Loan Party (including any Excluded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Moody’s</w:t>
      </w:r>
      <w:r>
        <w:rPr>
          <w:rFonts w:ascii="Times New Roman" w:hAnsi="Times New Roman"/>
          <w:caps w:val="false"/>
          <w:smallCaps w:val="false"/>
          <w:sz w:val="20"/>
        </w:rPr>
        <w:t>” means Moody’s Investors Service,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Multiemployer Plan</w:t>
      </w:r>
      <w:r>
        <w:rPr>
          <w:rFonts w:ascii="Times New Roman" w:hAnsi="Times New Roman"/>
          <w:caps w:val="false"/>
          <w:smallCaps w:val="false"/>
          <w:sz w:val="20"/>
        </w:rPr>
        <w:t>” means a “multiemployer plan” as defined in Section 4001(a)(3) of ERISA to which any Loan Party or any of its ERISA Affiliates has contributed, or has been obligated to contribute, to at any time during the preceding the six calendar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Net Cash Proceeds</w:t>
      </w:r>
      <w:r>
        <w:rPr>
          <w:rFonts w:ascii="Times New Roman" w:hAnsi="Times New Roman"/>
          <w:caps w:val="false"/>
          <w:smallCaps w:val="false"/>
          <w:sz w:val="20"/>
        </w:rPr>
        <w:t>” means, with respect to, any issuance or incurrence of any Indebtedness, any Equity Issuance, any Disposition, any Sale and Leaseback Transaction or the receipt of any Extraordinary Receipts by any Person or any of its Subsidiaries, the aggregate amount of cash received (directly or indirectly) from time to time (whether as initial consideration or through the payment or disposition of deferred consideration) by or on behalf of such Person or such Subsidiary, in connection therewith after deducting therefrom only (a) in the case of any Disposition, any Sale and Leaseback Transaction or the receipt of any Extraordinary Receipts consisting of insurance proceeds or condemnation awards, the amount of any Indebtedness secured by any Permitted Lien on any asset securing Indebtedness that is senior to the Obligations (other than Indebtedness assumed by the purchaser of such asset) which is required to be, and is, repaid in connection therewith (other than Indebtedness under this Agreement), (b) reasonable expenses and costs related thereto incurred by such Person or such Subsidiary in connection therewith, (c) all income taxes and other taxes assessed by, or reasonably estimated to be payable to, a Governmental Authority as a result of or in connection with such transaction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such estimated taxes exceed the amount of actual taxes required to be paid in cash in respect of such transaction, the amount of such excess shall constitute Net Cash Proceeds), (d) any reserve for adjustment in respect of (i) the sale price of such assets established in accordance with GAAP and (ii) any liabilities associated with such assets and retained by any Loan Party or any of its Subsidiaries after such sale or other disposition thereof, (e) the amount of any reserves established to fund contingent liabilities reasonably estimated to be payable and that are attributable to such event, (f) the pro rata portion of any proceeds attributable to the minority interests in a non-wholly owned Subsidiary that are not available for distribution to or for the account of any Loan Party or any of its Subsidiaries as a result thereof, and (g) any funded escrow established pursuant to the documents evidencing any such Disposition or Sale and Leaseback Transaction to secure any indemnification obligations or adjustments to the purchase price associated therewith owing to any Person that is not an Affiliate of such Person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to the extent that any amounts are released from such escrow to any Loan Party or any Subsidiary, such amounts net of any related expenses shall constitute Net Cash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Net Forced Liquidation Value</w:t>
      </w:r>
      <w:r>
        <w:rPr>
          <w:rFonts w:ascii="Times New Roman" w:hAnsi="Times New Roman"/>
          <w:caps w:val="false"/>
          <w:smallCaps w:val="false"/>
          <w:sz w:val="20"/>
        </w:rPr>
        <w:t>” means, with respect to Intellectual Property of any Person, the net forced liquidation value thereof as determined in an appraisal of such Intellectual Property performed by a third party appraiser reasonably acceptable to the Servicing Agent and which appraisal is otherwise in form and substance reasonably satisfactory to the Servicing Agent, with a copy provided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NOLV</w:t>
      </w:r>
      <w:r>
        <w:rPr>
          <w:rFonts w:ascii="Times New Roman" w:hAnsi="Times New Roman"/>
          <w:caps w:val="false"/>
          <w:smallCaps w:val="false"/>
          <w:sz w:val="20"/>
        </w:rPr>
        <w:t>” means, with respect to Inventory, the orderly liquidation value thereof identified in the most recent Inventory appraisal ordered by the Servicing Agent and as determined in a manner acceptable to the Servicing Agent by an appraiser acceptable to the Servicing Agent, net of all costs of liquidation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Non-Financing Lease Obligation</w:t>
      </w:r>
      <w:r>
        <w:rPr>
          <w:rFonts w:ascii="Times New Roman" w:hAnsi="Times New Roman"/>
          <w:caps w:val="false"/>
          <w:smallCaps w:val="false"/>
          <w:sz w:val="20"/>
        </w:rPr>
        <w:t>” means a lease obligation that is not required to be accounted for as a financing or capital lease on both the balance sheet and the income statement for financial reporting purposes in accordance with GAAP. For the avoidance of doubt, an operating lease (including any lease that would not have been a capital lease under GAAP as of December 31, 2017) shall be considered a Non-Financing Lease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Non-U.S. Borrowing Base</w:t>
      </w:r>
      <w:r>
        <w:rPr>
          <w:rFonts w:ascii="Times New Roman" w:hAnsi="Times New Roman"/>
          <w:caps w:val="false"/>
          <w:smallCaps w:val="false"/>
          <w:sz w:val="20"/>
        </w:rPr>
        <w:t>” means, at any time of determination through June 30, 2028 and without duplication of any asset included in the U.S. Borrowing Base, the result of the lesser of (a) the sum of (i) 85% of the net amount of all Non-U.S. Eligible Accounts at such date, plus (ii) the lesser of (x) 75% of the net book value of all Non-U.S. Eligible Inventory and (y) 85% of the NOLV of all Non-U.S. Eligible Inventory on such date, and (b) $4,500,000 less, with respect to this clause (b), as of the last day of each month beginning January 31, 2027, $250,000 for each such month (</w:t>
      </w:r>
      <w:r>
        <w:rPr>
          <w:rFonts w:ascii="Times New Roman" w:hAnsi="Times New Roman"/>
          <w:i/>
          <w:caps w:val="false"/>
          <w:smallCaps w:val="false"/>
          <w:sz w:val="20"/>
        </w:rPr>
        <w:t>i.e.</w:t>
      </w:r>
      <w:r>
        <w:rPr>
          <w:rFonts w:ascii="Times New Roman" w:hAnsi="Times New Roman"/>
          <w:caps w:val="false"/>
          <w:smallCaps w:val="false"/>
          <w:sz w:val="20"/>
        </w:rPr>
        <w:t>, an aggregate amount of $250,000 as of January 31, 2027, an aggregate amount of $500,000 as of February 28, 2027, and so on); provided, however, that in no event shall the result of the calculation in (a) or (b) exceed 15% of the Borrowing Base prior to the application of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Non U.S. Eligible Accounts</w:t>
      </w:r>
      <w:r>
        <w:rPr>
          <w:rFonts w:ascii="Times New Roman" w:hAnsi="Times New Roman"/>
          <w:caps w:val="false"/>
          <w:smallCaps w:val="false"/>
          <w:sz w:val="20"/>
        </w:rPr>
        <w:t>” means an Account (other than a U.S. Eligible Account) arising in the ordinary course of the business of a Loan Party from the sale of goods or rendition of services that the Servicing Agent, in its Permitted Discretion, deems to be a Non-U.S. Eligible Account. Without limiting the generality of the foregoing, no Account shall be a Non-U.S. Eligible Account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it arises out of a sale made or services rendered by a Loan Party or any Subsidiary to another Loan Party or a Subsidiary of a Loan Party or an Affiliate of a Loan Party;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it remains unpaid more than (i) 60 days after the original due date shown on the invoice or (ii) 90 days after the original invoice date shown on the invoice;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the total unpaid Accounts of the Account Debtor exceed 30% of the net amount of all Non-U.S. Eligible Accounts, but only to the extent of such excess;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any covenant, representation or warranty contained in this Agreement or any other Loan Document with respect to such Account has been breached;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(e)    the Account Debtor is also a creditor or supplier of a Loan Party or any Subsidiary of a Loan Party, or the Account Debtor has disputed liability with respect to such Account, or the Account Debtor has made any claim with respect to any other Account due from such Account Debtor to a Loan Party or any Subsidiary of a Loan Party, or the Account otherwise is or may become subject to right of setoff by the Account Debtor;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Account shall be eligible to the extent such amount exceeds such contract, dispute, claim, setoff or similar right;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the Account Debtor has commenced a voluntary case under any Debtor Relief Laws, or any other petition or other application for relief under Debtor Relief Laws has been filed against the Account Debtor, or if the Account Debtor has failed, suspended business, ceased to be Solvent, or consented to or suffered a receiver, trustee, assignee for the benefit of creditors, liquidator or custodian to be appointed for it or for all or a significant portion of its assets or affairs;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it arises from a sale made or services rendered to an Account Debtor that either (i) does not maintain its chief executive office in Japan or Switzerland or (ii) is not organized under the laws of Japan or Switzerland;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(h)    (i) it arises from a sale to an Account Debtor on a bill-and-hold, guaranteed sale, sale-or-return, sale-on-approval, consignment, or any other repurchase or return basis, or (ii) it is subject to a reserve established by a Loan Party or a Subsidiary of a Loan Party for potential returns or refunds, to the extent of such reserve, or (iii) it arises from a sale to an Account Debtor that is subject to cash-on-delivery terms;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(i) it is not subject to a first priority perfected security interest in favor of the Administrative Agent (for the benefit of the Secured Parties) or (ii) is subject to any Lien (other than (A) a Lien in favor of the Administrative Agent (for the benefit of the Secured Parties) and (B) a Permitted Lien that does not have priority over the Lien in favor of the Administrative Agent (for the benefit of the Secured Parties));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(j)    the goods giving rise to such Account have not been delivered to and accepted by the Account Debtor or the services giving rise to such Account have not been performed by the applicable Loan Party or a Subsidiary of a Loan Party and accepted by the Account Debtor or the Account otherwise does not represent a final sale;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(k)    the Loan Parties or a Subsidiary of a Loan Party have not sent a bill or invoice for the goods or services giving rise to such Account to the applicable Account Debtor;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(l)    it represents the right to receive progress payments or other advance billings that are due prior to the completion of performance by the applicable Loan Party or a Subsidiary of a Loan Party of the subject contract for goods or services;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(m)    it represents credit card sales;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(n)    the Account is evidenced by chattel paper or an instrument of any kind, or has been reduced to judgment;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(o)    any Loan Party or a Subsidiary of any Loan Party has made any agreement with the Account Debtor for any extension, compromise, settlement or modification of the Account or deduction therefrom, except for discounts or allowances which are made in the ordinary course of business for prompt payment and which discounts or allowances are reflected in the calculation of the face value of each invoice related to such Account;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(p)    50% or more of the Accounts owing from the Account Debtor are not Non-U.S. Eligible Accounts as a result of the application of clause (b) of this definition;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(q)    it represents service charges, late fees or similar charges;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(r)    its payment has been extended, the Account Debtor has made a partial payment, or the Account Debtor has made any payment that has not been applied;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(s)    the Servicing Agent believes the collection of such Account to be doubtful, including by reason of the Account Debtor's financial condition;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(t)    it is not otherwise acceptable to the Servicing Agent in its Permitted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no Accounts acquired through an Acquisition shall be Non-U.S. Eligible Accounts until such time as the Servicing Agent shall have received and be satisfied with the results of a field examination with respect thereto, such field examination to be conducted at the Loan Parties’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Non-U.S. Eligible Inventory</w:t>
      </w:r>
      <w:r>
        <w:rPr>
          <w:rFonts w:ascii="Times New Roman" w:hAnsi="Times New Roman"/>
          <w:caps w:val="false"/>
          <w:smallCaps w:val="false"/>
          <w:sz w:val="20"/>
        </w:rPr>
        <w:t>” means Inventory (other than U.S. Eligible Inventory) of a Loan Party that the Servicing Agent, in its Permitted Discretion, deems to be Non-U.S. Eligible Inventory. Without limiting the generality of the foregoing, no Inventory shall be Non-U.S. Eligible Inventory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it is work in process;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it is not in saleable condition;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it does not meet all standards imposed by any Governmental Authority;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it does not conform in all respects to any covenants, warranties and representations set forth in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(i) it is not subject to a first priority perfected security interest in favor of the Administrative Agent (for the benefit of the Secured Parties) or (ii) is subject to any Lien (other than (A) a Lien in favor of the Administrative Agent (for the benefit of the Secured Parties) and (B) a Permitted Lien that does not have priority over the Lien in favor of the Administrative Agent (for the benefit of the Secured Parties));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it is situated at a location outside Japan or Switzerland;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it is in transit (other than Inventory that is in transit between locations of the Loan Parties or Subsidiaries of a Loan Party;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(h)    it consists of packaging materials, supplies, tooling, or samples;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it is subject to any licensing, royalty or other Intellectual Property agreement with any third party (i) that would require any consent of any third party for the Disposition of such Inventory (which consent has not been obtained) or the payment of any monies to any third party upon such Disposition (to the extent of such monies), (ii) from whom any Loan Party or Subsidiary of a Loan Party has received written notice of a dispute in respect of such agreement, to the extent that the Servicing Agent determines, in its Permitted Discretion, that such dispute could be expected to prevent or impair the Disposition of such Inventory, or (iii) the Servicing Agent otherwise determines, in its Permitted Discretion, that such Inventory cannot be freely Disposed of by the Servicing Agent during the continuance of an Event of Default;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(j)    it is not otherwise acceptable to the Servicing Agent in its Permitted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no Inventory acquired through an Acquisition shall be Non-U.S. Eligible Inventory until such time as the Servicing Agent shall have received and be satisfied with the results of a field examination and inventory appraisal with respect thereto, such field examination and inventory appraisal to be conducted at the Loan Parties’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Notice of Borrowing</w:t>
      </w:r>
      <w:r>
        <w:rPr>
          <w:rFonts w:ascii="Times New Roman" w:hAnsi="Times New Roman"/>
          <w:caps w:val="false"/>
          <w:smallCaps w:val="false"/>
          <w:sz w:val="20"/>
        </w:rPr>
        <w:t>” has the meaning specified therefor in Section 2.02(a).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Notice of Prepayment</w:t>
      </w:r>
      <w:r>
        <w:rPr>
          <w:rFonts w:ascii="Times New Roman" w:hAnsi="Times New Roman"/>
          <w:caps w:val="false"/>
          <w:smallCaps w:val="false"/>
          <w:sz w:val="20"/>
        </w:rPr>
        <w:t>” has the meaning specified therefor in Section 2.05(c)(xiii).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Obligations</w:t>
      </w:r>
      <w:r>
        <w:rPr>
          <w:rFonts w:ascii="Times New Roman" w:hAnsi="Times New Roman"/>
          <w:caps w:val="false"/>
          <w:smallCaps w:val="false"/>
          <w:sz w:val="20"/>
        </w:rPr>
        <w:t>” means all (x) present and future indebtedness, obligations, and liabilities (including, without limitation, the Term Loan PIK Amount and the Revolving PIK Amount) of each Loan Party to the Agents and the Lenders arising under or in connection with this Agreement or any other Loan Document, whether or not the right of payment in respect of such claim is reduced to judgment, liquidated, unliquidated, fixed, contingent, matured, disputed, undisputed, legal, equitable, secured, unsecured, and whether or not such claim is discharged, stayed or otherwise affected by any proceeding referred to in Section 9.01. Without limiting the generality of the foregoing, the Obligations of each Loan Party under the Loan Documents include (a) the obligation (irrespective of whether a claim therefor is allowed in an Insolvency Proceeding) to pay principal (including, without limitation, the Term Loan PIK Amount and the Revolving PIK Amount), interest (including, without limitation, the payment of interest and other amounts arising after the commencement of any case with respect to any Loan Party under the Bankruptcy Code or any similar statute which would accrue and become due but for the commencement of such case, whether or not such amounts are allowed or allowable in whole or in part in such case), charges, expenses, fees, premiums (including the Applicable Premium, Make-Whole Amount and Supplemental Premium), attorneys’ fees and disbursements, indemnities and other amounts payable by such Person under the Loan Documents, and (b) the obligation of such Person to reimburse any amount in respect of any of the foregoing that any Agent may elect to pay or advance on behalf of such Person in accordance with the terms of this Agreement and (y) obligations of any Loan Party arising under any Secured Hedge Agreement (excluding any Excluded Swap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OFAC</w:t>
      </w:r>
      <w:r>
        <w:rPr>
          <w:rFonts w:ascii="Times New Roman" w:hAnsi="Times New Roman"/>
          <w:caps w:val="false"/>
          <w:smallCaps w:val="false"/>
          <w:sz w:val="20"/>
        </w:rPr>
        <w:t>” means the Office of Foreign Assets Control of the U.S. Department of the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Other Connection Taxes</w:t>
      </w:r>
      <w:r>
        <w:rPr>
          <w:rFonts w:ascii="Times New Roman" w:hAnsi="Times New Roman"/>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Other Currency</w:t>
      </w:r>
      <w:r>
        <w:rPr>
          <w:rFonts w:ascii="Times New Roman" w:hAnsi="Times New Roman"/>
          <w:caps w:val="false"/>
          <w:smallCaps w:val="false"/>
          <w:sz w:val="20"/>
        </w:rPr>
        <w:t>” has the meaning specified therefor in Section 12.24.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Other Taxes</w:t>
      </w:r>
      <w:r>
        <w:rPr>
          <w:rFonts w:ascii="Times New Roman" w:hAnsi="Times New Roman"/>
          <w:caps w:val="false"/>
          <w:smallCaps w:val="false"/>
          <w:sz w:val="20"/>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Outbound Investment Rules</w:t>
      </w:r>
      <w:r>
        <w:rPr>
          <w:rFonts w:ascii="Times New Roman" w:hAnsi="Times New Roman"/>
          <w:caps w:val="false"/>
          <w:smallCaps w:val="false"/>
          <w:sz w:val="20"/>
        </w:rPr>
        <w:t xml:space="preserve">” means the regulations administered and enforced, together with any related public guidance issued, by the United States Treasury Department under U.S. Executive Order 14105 of August 9, 2023, or any successor law or regulation, and as codified at 31 C.F.R. § 850.101 </w:t>
      </w:r>
      <w:r>
        <w:rPr>
          <w:rFonts w:ascii="Times New Roman" w:hAnsi="Times New Roman"/>
          <w:i/>
          <w:caps w:val="false"/>
          <w:smallCaps w:val="false"/>
          <w:sz w:val="20"/>
        </w:rPr>
        <w:t>et seq</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Parallel Debt</w:t>
      </w:r>
      <w:r>
        <w:rPr>
          <w:rFonts w:ascii="Times New Roman" w:hAnsi="Times New Roman"/>
          <w:caps w:val="false"/>
          <w:smallCaps w:val="false"/>
          <w:sz w:val="20"/>
        </w:rPr>
        <w:t>” has the meaning specified therefor in Section 10.19(b).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Participant Register</w:t>
      </w:r>
      <w:r>
        <w:rPr>
          <w:rFonts w:ascii="Times New Roman" w:hAnsi="Times New Roman"/>
          <w:caps w:val="false"/>
          <w:smallCaps w:val="false"/>
          <w:sz w:val="20"/>
        </w:rPr>
        <w:t>” has the meaning specified therefor in Section 12.07(i).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Participating Member State</w:t>
      </w:r>
      <w:r>
        <w:rPr>
          <w:rFonts w:ascii="Times New Roman" w:hAnsi="Times New Roman"/>
          <w:caps w:val="false"/>
          <w:smallCaps w:val="false"/>
          <w:sz w:val="20"/>
        </w:rPr>
        <w:t>” means each state so described in any EMU Legislation.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Payment Office</w:t>
      </w:r>
      <w:r>
        <w:rPr>
          <w:rFonts w:ascii="Times New Roman" w:hAnsi="Times New Roman"/>
          <w:caps w:val="false"/>
          <w:smallCaps w:val="false"/>
          <w:sz w:val="20"/>
        </w:rPr>
        <w:t>” means the Administrative Agent’s account or office designated to the Collateral Agent and the Administrative Borrower prior to the Effective Date, or at such other account, office or offices of the Administrative Agent as may be designated in writing from time to time by the Administrative Agent to the Collateral Agent and the Administrative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PBGC</w:t>
      </w:r>
      <w:r>
        <w:rPr>
          <w:rFonts w:ascii="Times New Roman" w:hAnsi="Times New Roman"/>
          <w:caps w:val="false"/>
          <w:smallCaps w:val="false"/>
          <w:sz w:val="20"/>
        </w:rPr>
        <w:t>” means the Pension Benefit Guaranty Corporation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Pension Plan</w:t>
      </w:r>
      <w:r>
        <w:rPr>
          <w:rFonts w:ascii="Times New Roman" w:hAnsi="Times New Roman"/>
          <w:caps w:val="false"/>
          <w:smallCaps w:val="false"/>
          <w:sz w:val="20"/>
        </w:rPr>
        <w:t>” means an Employee Plan that is subject to Section 412 of the Internal Revenue Code, Section 302 of ERISA or Title IV of ERISA maintained, sponsored or contributed to, or for which there is an obligation to contribute to, by any Loan Party or any of its ERISA Affiliates at any time during the preceding six calendar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Perfection Certificate</w:t>
      </w:r>
      <w:r>
        <w:rPr>
          <w:rFonts w:ascii="Times New Roman" w:hAnsi="Times New Roman"/>
          <w:caps w:val="false"/>
          <w:smallCaps w:val="false"/>
          <w:sz w:val="20"/>
        </w:rPr>
        <w:t>” means a certificate in form and substance satisfactory to the Collateral Agent providing information with respect to the property of each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Periodic Term SOFR Determination Day</w:t>
      </w:r>
      <w:r>
        <w:rPr>
          <w:rFonts w:ascii="Times New Roman" w:hAnsi="Times New Roman"/>
          <w:caps w:val="false"/>
          <w:smallCaps w:val="false"/>
          <w:sz w:val="20"/>
        </w:rPr>
        <w:t>” has the meaning specified in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Permits</w:t>
      </w:r>
      <w:r>
        <w:rPr>
          <w:rFonts w:ascii="Times New Roman" w:hAnsi="Times New Roman"/>
          <w:caps w:val="false"/>
          <w:smallCaps w:val="false"/>
          <w:sz w:val="20"/>
        </w:rPr>
        <w:t>” means all licenses, listings, rights, privileges, clearances, franchises, markings, labelings, certificates, accreditations, product clearances or approvals, provider numbers or provider authorizations, supplier numbers, enrollments, letters of non-reviewability, certificates of need, marketing authorizations, variances, exemptions, plans, directives, other authorizations, registrations, permits, consents, consent orders, consent decrees or approvals and any supplements or amendments thereto issued or required of the Borrower and each of its Subsidiaries required under any Requirement of Law applicable to the business of the Administrative Borrower or its Subsidiaries, or necessary in the manufacturing, importing, exporting, possession, ownership, warehousing, marketing, promoting, sale, labeling, furnishing, distribution or delivery of goods or services under Requirements of Law applicable to the business of the Borrower or any of its Subsidiaries. Without limiting the generality of the foregoing, “Permits” includes all governmental authorizations and Product Authorizations of the Borrower and each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Acquisition</w:t>
      </w:r>
      <w:r>
        <w:rPr>
          <w:rFonts w:ascii="Times New Roman" w:hAnsi="Times New Roman"/>
          <w:caps w:val="false"/>
          <w:smallCaps w:val="false"/>
          <w:sz w:val="20"/>
        </w:rPr>
        <w:t>” means any Acquisition by a Loan Party or any wholly-owned Subsidiary of a Loan Party to the extent that each of the following conditions shall have been satisfied (or waived by the Collateral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no Event of Default shall have occurred and be continuing or would result from the consummation of the proposed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to the extent the Acquisition will be financed in whole or in part with the proceeds of any Loan, the conditions for the making of such Loan shall have been satisfied (or waived by the Collateral Agent and the Servicing Agent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the Borrowers shall have furnished to the Agents at least 10 days prior to the consummation of such Acquisition (or such later date as reasonably acceptable to the Collateral Agent) (i) a summary setting forth in reasonable detail the terms and conditions of such Acquisition and, at the reasonable request of any Agent, such other information, agreement, instruments and documents that any Agent may reasonably request, (ii) pro forma financial statements of the Administrative Borrower and its Subsidiaries (to the extent reasonably available, consistent with the financial statements delivered pursuant to Section 7.01(a)) after the consummation of such Acquisition, and (iii) a certificate of the chief financial officer of the Administrative Borrower, demonstrating on a pro forma basis compliance, as at the end of the most recently ended Fiscal Quarter for which internally prepared financial statements are available, with all covenants set forth in Section 7.03 hereof after the consummation of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on the date of consummation of such Acquisition, the Borrowers shall have furnished to the Agents executed counterparts of the respective material agreements, instruments or other documents pursuant to which such Acquisition is to be consummated (including, without limitation, any related management, non-compete, employment, option or other material agreements), any schedules to such agreements, instruments or other documents and all other material ancillary agreements, instruments or other documents to be executed or delivered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the agreements, instruments and other documents referred to in paragraph (d) above shall provide that (i) neither the Loan Parties nor any of their Subsidiaries shall, in connection with such Acquisition, assume or remain liable in respect of any Indebtedness of the Seller or Sellers, or other obligation of the Seller or Sellers (except for obligations incurred in the ordinary course of business in operating the property so acquired and necessary or desirable to the continued operation of such property and except for Permitted Indebtedness), and (ii) all property to be so acquired in connection with such Acquisition shall be free and clear of any and all Liens, except for Permitted Liens (and if any such property is subject to any Lien not permitted by this clause (ii) then concurrently with such Acquisition such Lien shall be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such Acquisition shall be effected in such a manner so that the acquired assets or Equity Interests are owned either by a Loan Party or a wholly-owned Subsidiary of a Loan Party and, if effected by merger or consolidation involving a Loan Party, such Loan Party shall be the continuing or surviving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if the Purchase Price with respect to such Acquisition is equal to or greater than $10,000,000, then the Loan Parties shall deliver a quality of earnings report, prepared by a third party, with respect to the assets being acquired or the Person whose Equity Interests are being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the Loan Parties shall have Liquidity in an amount equal to or greater than $40,000,000 immediately after giving pro forma effect to the consummation of the proposed Acquisition;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calculation of Liquidity pursuant to this clause (h) shall consist of at least $5,000,000 of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the Total Leverage Ratio of the Administrative Borrower and its Subsidiaries (calculated using the Consolidated EBITDA of the Administrative Borrower and its Subsidiaries measured for the trailing 4 Fiscal Quarter period ending on the last day of the most recent Fiscal Quarter for which financial statements of the Administrative Borrower and its Subsidiaries have been (or are required to have been) received by the Administrative Agent pursuant to Section 7.01(a) and the Indebtedness of the Administrative Borrower and its Subsidiaries measured as of the date of such Acquisition) shall not exceed 4.50 to 1.00 after giving pro forma effect to the consummation of the proposed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the assets being acquired or the Person whose Equity Interests are being acquired do not have negative Consolidated EBITDA measured for the trailing 4 Fiscal Quarter period ending on the last day of the most recent Fiscal Quarter for which financial statements of the Administrative Borrower and its Subsidiaries have been (or are required to have been) received by the Administrative Agent pursuant to Section 7.01(a) (calculated on a pro forma basis after giving effect to the proposed Acquisition and subject to the limitations set forth in the definition of “Consolidated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(k)         the assets being acquired (other than a </w:t>
      </w:r>
      <w:r>
        <w:rPr>
          <w:rFonts w:ascii="Times New Roman" w:hAnsi="Times New Roman"/>
          <w:i/>
          <w:caps w:val="false"/>
          <w:smallCaps w:val="false"/>
          <w:sz w:val="20"/>
        </w:rPr>
        <w:t xml:space="preserve">de minimis </w:t>
      </w:r>
      <w:r>
        <w:rPr>
          <w:rFonts w:ascii="Times New Roman" w:hAnsi="Times New Roman"/>
          <w:caps w:val="false"/>
          <w:smallCaps w:val="false"/>
          <w:sz w:val="20"/>
        </w:rPr>
        <w:t>amount of assets in relation to the Loan Parties’ and their Subsidiaries’ total assets), or the Person whose Equity Interests are being acquired, are useful in or engaged in, as applicable, the business of the Loan Parties and their Subsidiaries or any other business permitted under Section 7.02(d);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the assets being acquired (other than an aggregate amount not to exceed $5,000,000 after the Effective Date) are located within the United States or any other jurisdiction of organization of a Loan Party or the Person whose Equity Interests are being acquired is organized in a jurisdiction located within the United States or any other jurisdiction of organization of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such Acquisition shall be consensual and shall have been approved by the board of directors of the Person whose Equity Interests or assets are proposed to be acquired and shall not have been preceded by an unsolicited tender offer for such Equity Interests by, or proxy contest initiated by, the Administrative Borrower or any of its Subsidiaries or an Affiliate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[reserved];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         the Person whose Equity Interests are being acquired (and its equityholders) shall agree to execute and deliver the agreements, instruments and other documents to the extent required by Section 7.01(b) on or prior to the date set forth in Section 7.01(b).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no assets acquired in any such Acquisition shall be included in the Borrowing Base unless such assets are included in a Borrowing Base Certificate delivered to the Servicing Agent in accordance with Section 7.01(a)(vi) and they otherwise satisfy the eligibility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Discretion</w:t>
      </w:r>
      <w:r>
        <w:rPr>
          <w:rFonts w:ascii="Times New Roman" w:hAnsi="Times New Roman"/>
          <w:caps w:val="false"/>
          <w:smallCaps w:val="false"/>
          <w:sz w:val="20"/>
        </w:rPr>
        <w:t>” means a determination made by the Servicing Agent in good faith and in the exercise of commercially reasonable business judgment (from the perspective of a secured revolving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Disposition</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(i) sale of Inventory in the ordinary course of business and (ii) the disposition of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licensing and sublicensing (each on a non-exclusive basis) Intellectual Property rights in the ordinary course of business and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leasing or subleasing assets in the ordinary course of business, in each case, among the Loan Parties or to a non-Affiliated third party;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leases or sub-leases by Loan Parties to Foreign Subsidiaries shall not exceed a value of $2,500,000 in the aggregate at any one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sale, assignment, transfer, license, lapse, abandonment, or other disposition of non-Material Intellectual Property of the Administrative Borrower and its Subsidiaries to the extent (i) not economically desirable in the conduct of their business or (ii) in the ordinary course of business so long as (A) such Intellectual Property is not material revenue generating Intellectual Property and (B) such lapse is not materially adverse to the interests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any involuntary loss, damage or destruction of property (including as a result of condemnation or casualty);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any involuntary condemnation, seizure or taking, by exercise of the power of eminent domain or otherwise, or confiscation or requisition of use of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transfers of assets (other than Intellectual Property, unless permitted by clause (b) of this definition) (i) from the Administrative Borrower or any of its Subsidiaries to a Domestic Loan Party, (ii) from any Subsidiary of the Administrative Borrower that is not a Loan Party to any other Subsidiary of the Administrative Borrower, (iii) from any Loan Party to any Foreign Subsidiary of the Administrative Borrower in an aggregate amount not to exceed $5,000,000 after the Effective Date (</w:t>
      </w:r>
      <w:r>
        <w:rPr>
          <w:rFonts w:ascii="Times New Roman" w:hAnsi="Times New Roman"/>
          <w:caps w:val="false"/>
          <w:smallCaps w:val="false"/>
          <w:sz w:val="20"/>
          <w:u w:val="single"/>
        </w:rPr>
        <w:t>provided</w:t>
      </w:r>
      <w:r>
        <w:rPr>
          <w:rFonts w:ascii="Times New Roman" w:hAnsi="Times New Roman"/>
          <w:caps w:val="false"/>
          <w:smallCaps w:val="false"/>
          <w:sz w:val="20"/>
        </w:rPr>
        <w:t>, that the aggregate amount of such transfers pursuant to this clause (iii) to Foreign Subsidiaries of the Administrative Borrower that are not Loan Parties shall not exceed $2,500,000 after the Effective Date) or (iv) consisting of sales of bona fide inventory in the ordinary course of business and consistent with past practices on terms that are arm’s length or that comply with transfer pricing arrangements audited by internationally recognized external tax consultants of the Administrative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Disposition of obsolete, surplus, immaterial, uneconomical or worn-out assets in the ordinary course of business in an aggregate amount not to exceed $5,000,000 in any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the trade in for credit or exchange of equipment for equipment used in the conduct of the business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any Subsidiary of a Borrower may dissolve, liquidate or wind up its affairs so long as (i) if the Subsidiary is a Domestic Loan Party, the assets of such Subsidiary, if any, shall be transferred to a Domestic Loan Party, (ii) if the Subsidiary is a Foreign Loan Party, the assets of such Subsidiary, if any, shall be transferred to a Domestic Loan Party, and (iii) such action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the termination of any Hedging Agreement in accordance with Section 7.01(m), in each case, subject to the consent of the Administrative Agent and the Servicing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transactions permitted under Section 7.02(a), Section 7.02(c)(i), Section 7.02(e), Section 7.02(g) and Section 7.02(h);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(i) discounts or forgiveness of, or dispositions (on a non-recourse basis) of, notes receivable or accounts receivable (or the conversion to Equity Interests thereof) in connection with the collection or compromise thereof, in each case, in the ordinary course of business and (ii) dispositions to the Japanese Guarantor pursuant to receivables factoring, purchase and sale or similar agreement set forth on Schedule 7.02(b) in an aggregate amount not to exceed $6,000,000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Sale and Leaseback Transactions to the extent permitted by Section 7.02(f);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the Administrative Borrower may consummate the Existing Notes Equity Issuances;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(p)         Disposition of property or assets not otherwise permitted in clauses (a) through (o) above having a fair market value not to exceed $5,000,000 in the aggregate since the Effective Date; </w:t>
      </w:r>
      <w:r>
        <w:rPr>
          <w:rFonts w:ascii="Times New Roman" w:hAnsi="Times New Roman"/>
          <w:caps w:val="false"/>
          <w:smallCaps w:val="false"/>
          <w:sz w:val="20"/>
          <w:u w:val="single"/>
        </w:rPr>
        <w:t>provided</w:t>
      </w:r>
      <w:r>
        <w:rPr>
          <w:rFonts w:ascii="Times New Roman" w:hAnsi="Times New Roman"/>
          <w:caps w:val="false"/>
          <w:smallCaps w:val="false"/>
          <w:sz w:val="20"/>
        </w:rPr>
        <w:t>, that (i) such Disposition is made for fair market value, (ii) such Dispositions shall be for at least 75% cash consideration and (iii) such Dispositions are made to Persons that are not Subsidiaries or joint ventures of the Administrative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Net Cash Proceeds of such Dispositions (including the proposed Disposition) are paid to the Administrative Agent for the benefit of the Agents and the Lenders pursuant to the terms of Section 2.05(c)(ii) or applied as provided in Section 2.05(c)(v).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Indebtedness</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any Indebtedness owing to any Agent or any Lender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Indebtedness listed on Schedule 7.02(b), and any Permitted Refinancing Indebtedness in respect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Permitted Purchase Money Indebtedness and any Permitted Refinancing Indebtedness in respect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Permitted Intercompany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the Existing Notes in a principal amount not to exceed $18,000,000 (plus any positive Exchange Threshold Amount)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Indebtedness owed to any Person providing property, casualty, liability, or other insurance to the Loan Parties, so long as the amount of such Indebtedness is not in excess of the amount of the unpaid cost of, and shall be incurred only to defer the cost of, such insurance for the period in which such Indebtedness is incurred and such Indebtedness is outstanding only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the incurrence by any Loan Party of Indebtedness under Hedging Agreements that are incurred for the bona fide purpose of hedging the interest rate, commodity, or foreign currency risks associated with such Loan Party’s operations and not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contingent liabilities in respect of any customary indemnification obligation, adjustment of purchase price, non-compete, or similar obligation of any Loan Party incurred in connection with the consummation of one or more Permitted Acquisitions and Permitted Dispositions;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amount of such obligation shall be deemed part of the cost of such Investment (the amount of which shall be deemed to be the amount required to be accrued as a liability in accordance with GAAP or the amount actually paid);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any Indebtedness incurred in connection with adjustments of purchase price (including any earnout, deferred purchase price, seller financing or similar) in connection with Permitted Acquisitions and Permitted Dispositions shall not exceed $3,750,000 at any one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         so long as no Event of Default has occurred and is continuing or would be directly or indirectly caused as a result thereof and the Total Leverage Ratio of the Administrative Borrower and its Subsidiaries (for the consecutive four Fiscal Quarter period of the Administrative Borrower and its Subsidiaries ending as of the Fiscal Quarter immediately prior to the incurrence of such Indebtedness for which financial statements of the Administrative Borrower and its Subsidiaries have been received by the Administrative Agent pursuant to Section 7.01(a)) is less than 4.00 to 1.00 after giving pro forma effect thereto, Indebtedness of a Person whose assets or Equity Interests are acquired by the Administrative Borrower or any of its Subsidiaries in a Permitted Acquisition; </w:t>
      </w:r>
      <w:r>
        <w:rPr>
          <w:rFonts w:ascii="Times New Roman" w:hAnsi="Times New Roman"/>
          <w:caps w:val="false"/>
          <w:smallCaps w:val="false"/>
          <w:sz w:val="20"/>
          <w:u w:val="single"/>
        </w:rPr>
        <w:t>provided</w:t>
      </w:r>
      <w:r>
        <w:rPr>
          <w:rFonts w:ascii="Times New Roman" w:hAnsi="Times New Roman"/>
          <w:caps w:val="false"/>
          <w:smallCaps w:val="false"/>
          <w:sz w:val="20"/>
        </w:rPr>
        <w:t>, that such Indebtedness (i) is either Permitted Purchase Money Indebtedness or a Capitalized Lease with respect to equipment or mortgage financing with respect to a Facility, (ii) was in existence prior to the date of such Permitted Acquisition, (iii) was not incurred in connection with, or in contemplation of, such Permitted Acquisition, and (iv) shall not be in an aggregate principal amount in excess of $5,000,000 at any one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         Indebtedness in connection with surety, performance, bid, appeal or similar bonds, letters of credit, bank guarantees and performance bonds and other similar obligations obtained in the ordinary course of business and in connection with workers’ compensation, health, disability or other employee benefits, environmental obligations or property, casualty or liability insurance of Loan Parties and in connection with other surety and performance bonds in the ordinary course of business;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Indebtedness, together with any Indebtedness incurred pursuant to clause (y) of the definition hereof, shall not exceed $5,000,000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to the extent constituting Indebtedness: (i) contingent obligations arising under indemnity agreements to title insurance companies to cause such title insurers to issue title insurance policies in the ordinary course of business with respect to real property of a Borrower or its Subsidiaries, (ii) obligations in connection with repurchase agreements constituting Cash Equivalents at the time such Investment was made, (iii) endorsement of instruments or other payment items for deposit in the ordinary course of business and (iv) deferred compensation, pension plan and pension benefit obligations and liabilities to current or former employees, officers, directors, managers, consultants of a Borrower and its Subsidiaries, in each case, to the extent customary, consistent with past practices and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         Guarantees by a Borrower of Indebtedness of any Subsidiary and by any Subsidiary of Indebtedness of the Borrower or any other Subsidiary,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the Indebtedness so guaranteed is permitted by Section 7.02(e), and (ii) guarantees by a Borrower or other Loan Party of Indebtedness of any Subsidiary that is not a Loan Party must constitute a Permitted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         (i) Indebtedness arising from the honoring by a financial institution of a check, draft or similar instrument drawn against insufficient funds and (ii) Indebtedness consisting of endorsements for collection or deposit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(q)         Indebtedness owing to insurance carriers and incurred to finance insurance premiums of any Loan Party or any Subsidiary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         Indebtedness owing to current or former officers, directors, partners, managers, consultants and employees, their respective estates, spouses or former spouses to finance the purchase or redemption of Equity Interests of the Administrative Borrower (or any direct or indirect parent thereof) as permitted in clause (e) of “Permitted Restricted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         Indebtedness representing any taxes and other governmental charges, to the extent not required to be paid pursuant to Section 7.01(c)(ii) and not otherwise constituting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         to the extent constituting Indebtedness, take-or-pay obligations contained in supply arrangements incurred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(x)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(y)         Indebtedness in respect of letters of credit (including standby and commercial), bankers’ acceptances and bank guaranties;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Indebtedness, together with any Indebtedness incurred pursuant to clause (m) of the definition hereof, shall not exceed $5,000,000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(z)          any other Indebtedness incurred by any Loan Party or any of its Subsidiaries in an aggregate outstanding amount not to exceed $2,500,000;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(aa)         all premiums, interest, fees, expenses charges and additional or contingent interest on the Indebtedness described in clauses (a) through (z)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that notwithstanding anything to the contrary contained in this Agreement, at no time shall the funded Indebtedness for borrowed money of (i) non-Loan Party Subsidiaries or joint ventures (other than the Chinese Joint Venture) exceed $5,000,000 in the aggregate or (ii) the Chinese Joint Venture exceed RMB 750,000,000 in the aggregate without, in the case of this clause (ii), the consent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Intercompany Investments</w:t>
      </w:r>
      <w:r>
        <w:rPr>
          <w:rFonts w:ascii="Times New Roman" w:hAnsi="Times New Roman"/>
          <w:caps w:val="false"/>
          <w:smallCaps w:val="false"/>
          <w:sz w:val="20"/>
        </w:rPr>
        <w:t>” means Investments made by (a) a Loan Party to or in another Loan Party, including, but not limited to, loans and advances (including from proceeds of Revolving Loans); provided that the aggregate amount of Investment permitted pursuant to this clause (a) made to Foreign Loan Parties shall not exceed $10,000,000 per fiscal year, (b) a Loan Party to or in a Subsidiary that is not a Loan Party so long as (i) no Event of Default has occurred and is continuing either before or after giving effect to such Investment and (ii) the aggregate amount of all such Investments made by the Loan Parties to or in Subsidiaries that are not Loan Parties made pursuant to this clause (b) after the Effective Date does not exceed $5,000,000 at any time outstanding, (c) a Subsidiary that is not a Loan Party to or in another Subsidiary that is not a Loan Party, and (d) a Subsidiary that is not a Loan Party to or in a Loan Party, so long as, in the case of a loan or advance, the parties thereto are party to the Intercompany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Investments</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Investments in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Investments in negotiable instruments deposited or to be deposited for collection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advances made in connection with purchases of goods or services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Investments existing on or contractually committed to as of the date hereof, as set forth on Schedule 7.02(e) hereto, and any modification thereof that does not increase the amount thereof as set forth in such Schedule (other than as a result of unused commitments, accrued interest, fees and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Permitted Intercompany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Permitted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non-cash loans and advances to officers, directors and employees of the Administrative Borrower and its Subsidiaries to purchase Equity Interests in the Administrative Borrower or any direct or indirect parent of the Administrative Borrower in an aggregate amount not to exceed $1,250,000 at any time outstanding;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loans and advances shall comply with all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Investments constituting Indebtedness permitted under Section 7.02(b), and Guaranties among the Loan Parties and their Subsidiaries not constituting Indebtedness and entered into in the ordinary course of business, in each case, to the extent such Guaranties also constitute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Hedging Agreements permitted or not restricted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prepaid expenses or lease, utility and other similar deposits made in the ordinary course of business of a Borrower and its Subsidiaries to secure the performance of leases or in connection with bidding on government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Investments of a Subsidiary acquired after the Effective Date or a Person merged into a Borrower or merged into or consolidated with a Subsidiary after the Effective Date in connection with a Permitted Acquisition, to the extent that such Investments are in existence on the date of the consummation of such Permitted Acquisition and were not made in contemplation of or in connection with such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Investments arising out of the receipt of non-cash consideration for the Disposition of assets to the extent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bank deposits and securities accounts maintained in accordance with the terms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         Investments to the extent solely reflecting an increase in the value of Investments otherwise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(q)         (i) reasonable earnest money deposits made in the ordinary course of business in connection with the acquisitions of property and assets not prohibited hereunder and (ii) deposits made in the ordinary course of business securing contractual obligations to the extent constituting a Lien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         subject to Section 7.01(v), Investments to the extent the consideration paid therefor consists solely of (i) Equity Interests (other than Disqualified Equity Interests) of the Administrative Borrower (or any direct or indirect parent thereof) or (ii) the Net Cash Proceeds of Equity Issuances (including any capital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         so long as no Event of Default has occurred and is continuing or would result therefrom, Investments of cash and cash equivalents in an aggregate amount not to exceed $3,750,000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         leases or subleases of real property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         Investments constituting installment sales of equipment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         Investments consisting of notes receivable of, or prepaid royalties and other credit extensions, to customers and suppliers who are not Affiliates, in the ordinary course of business, provided, however, that this clause (v) shall not apply to Investments of any Borrower in any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         Investments made pursuant to Section 5.04(e);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anything to the contrary contained in this Agreement, at no time shall the net Investments initially made on or after the Effective Date in non-Loan Party Subsidiaries or joint ventures (other than the Chinese Joint Venture, which, for the avoidance of doubt, shall be governed by the clauses above) exceed $5,000,000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Liens</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Liens securing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Liens for taxes, assessments and governmental charges the payment of which is not required under Section 7.01(c)(ii);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Liens imposed by law, such as carriers’, warehousemen’s, mechanics’, materialmen’s and other similar Liens arising in the ordinary course of business and securing obligations (other than Indebtedness for borrowed money) that are not overdue by more than 45 days or are being contested in good faith and by appropriate proceedings promptly initiated and diligently conducted, and a reserve or other appropriate provision, if any, as shall be required by GAAP shall have been made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Liens described on Schedule 7.02(a),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Lien shall only secure the obligations that it secures on the Effective Date and any Permitted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purchase money Liens on equipment acquired or held by any Loan Party or any of its Subsidiaries in the ordinary course of its business to secure Permitted Purchase Money Indebtedness so long as such Lien (i) is incurred within 180 days of the incurrence of the Permitted Purchase Money Indebtedness, (ii) only attaches to such property (together with proceeds, products, accessories), and (iii) secures the Indebtedness that was incurred to acquire such property or any Permitted Refinancing Indebtedness in respect thereof;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individual financings of property provided by a single lender may be cross-collateralized to other financings of property provided by such lender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Liens securing (i) obligations incurred in respect of workers’ compensation, unemployment insurance or other forms of governmental insurance or benefits,(ii) the performance of bids, tenders, leases, contracts (other than for the payment of debt for borrowed money) and statutory obligations or (iii) obligations on surety or appeal bonds, but only to the extent such Liens are made or otherwise arise in the ordinary course of business and secure obligations not past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with respect to any real property, easements, rights of way, restrictions, zoning restrictions and similar encumbrances on real property and minor irregularities in the title thereto that do not (i) secure obligations for the payment of money or (ii) materially impair the value of such property or its use by any Loan Party or any of its Subsidiaries in the normal conduct of such Person’s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Liens of landlords and mortgagees of landlords (i) arising by statute or under any Lease or related Contractual Obligation entered into in the ordinary course of business, (ii) on fixtures and movable tangible property located on the real property leased or subleased from such landlord, or (iii) for amounts not yet due or that are being contested in good faith by appropriate proceedings diligently conducted and for which adequate reserves or other appropriate provisions are maintained on the books of such Person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except with respect to Intellectual Property rights, any interest or title of a lessor, licensor, sublessor or sublicensor under any lease, license, sublease or sublicense entered into by any Loan Party or any Subsidiary thereof in the ordinary course of its business and covering only the assets so leased, licensed, subleased or sublicensed;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non-exclusive licenses of Intellectual Property rights granted in the ordinary course of business or licenses of Intellectual Property rights constituting Permitted Dispositions;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judgment liens securing judgments and other proceedings not constituting an Event of Default under Section 9.01(j);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rights of set-off or bankers’ liens upon deposits of cash in favor of banks or other depository institutions, solely to the extent incurred in connection with the maintenance of such deposit accounts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Liens granted in the ordinary course of business on the unearned portion of insurance premiums securing the financing of insurance premiums to the extent the financing is permitted under the definition of Permitted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Liens assumed by the Administrative Borrower and its Subsidiaries in connection with a Permitted Acquisition that secure Indebtedness permitted by clause (j) of the definition of Permitted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Liens solely on any cash earnest money deposits made by any Loan Party in connection with any letter of intent or purchase agreement with respect to a Permitted Acquisition or other Permitted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         pledges or deposits or other customary Liens in connection with workers’ compensation, unemployment insurance and other social security legislation (other than any Lien imposed by ERISA) and liens in favor of public utilities;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(q)         Liens arising in the ordinary course of business by virtue of any contractual, statutory or common law provision relating to banker’s Liens, rights of set-off or similar rights and remedies covering deposit or securities accounts (including funds or other assets credited thereto) or other funds maintained with a depository institution or securities intermediary, Liens relating to pooled deposit or sweep accounts to permit satisfaction of overdraft or similar obligations incurred in the ordinary course of business of such Person, and Liens of a collection bank arising under Section 4-210 of the UCC on items in the course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         assignments of insurance or condemnation proceeds provided to landlords (or their mortgagees) pursuant to the terms of any lease and Liens or rights reserved in any lease for rent or for compliance with the terms of such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         any Lien existing on any property or asset prior to the acquisition thereof by any Loan Party or existing on any property or asset of any Person that becomes a Subsidiary after the Effective Date prior to the time such Person becomes a Subsidiary;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such Lien is not created in contemplation of or in connection with such acquisition or such Person becoming a Subsidiary, as the case may be, (ii) in the case of the acquisition of property or assets, except as permitted hereby, such Lien does not extend to or cover any other property or assets of a Loan Party or any Subsidiary (other than any proceeds and products thereof, accessions thereto, improvements thereon and after acquired property subjected to a Lien pursuant to terms existing at the time of such acquisition, it being understood that such requirement shall not be permitted to apply to any property to which such requirement would not have applied but for such acquisition), (iii) unless permitted hereunder, in the case of the acquisition of any Person who becomes a Subsidiary, such Lien does not extend to or cover the property or assets of any other Loan Party and (iv) the Indebtedness secured thereby is Permitted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         Liens consisting of an agreement to dispose of any property in a Permitted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         Liens on cash collateral securing Hedging Obligations, in an aggregate amount not to exceed the Hedge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         Liens as to which the aggregate amount of the obligations secured thereby does not exceed $2,500,000;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         Liens on cash in Excluded Accounts described in clause (c) of the definition thereof, established and maintained to secure Indebtedness permitted under clause (y) of the definition of “Permitted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Purchase Money Indebtedness</w:t>
      </w:r>
      <w:r>
        <w:rPr>
          <w:rFonts w:ascii="Times New Roman" w:hAnsi="Times New Roman"/>
          <w:caps w:val="false"/>
          <w:smallCaps w:val="false"/>
          <w:sz w:val="20"/>
        </w:rPr>
        <w:t xml:space="preserve">” means, as of any date of determination, Indebtedness (other than the Obligations, but including Capitalized Lease Obligations) incurred to finance the acquisition of any fixed assets secured by a Lien permitted under clause (e) of the definition of “Permitted Liens”;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such Indebtedness is incurred within 90 days after such acquisition, (b) such Indebtedness when incurred shall not exceed the purchase price of the asset financed and (c) the aggregate principal amount of all such Indebtedness shall not exceed $5,000,000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Refinancing Indebtedness</w:t>
      </w:r>
      <w:r>
        <w:rPr>
          <w:rFonts w:ascii="Times New Roman" w:hAnsi="Times New Roman"/>
          <w:caps w:val="false"/>
          <w:smallCaps w:val="false"/>
          <w:sz w:val="20"/>
        </w:rPr>
        <w:t>” means the extension of maturity, refinancing or modification of the terms of Indebtedness so long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after giving effect to such extension, refinancing or modification, the amount of such Indebtedness is not greater than the amount of Indebtedness outstanding immediately prior to such extension, refinancing or modification (other than by an amount equal to accrued interest, unused commitments and premiums, fees and expenses incurred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such extension, refinancing or modification does not result in a shortening of the average weighted maturity (measured as of the extension, refinancing or modification, but without giving effect to any prepayment or amortization) of the Indebtedness so extended, refinanced or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such extension, refinancing or modification is pursuant to terms (taken as a whole) that are not materially less favorable to the Loan Parties and the Lenders than the terms of the Indebtedness (including, without limitation, terms relating to the collateral (if any) and subordination (if any)) being extended, refinanced or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Indebtedness that is extended, refinanced or modified is not recourse to any Loan Party or any of its Subsidiaries that is liable on account of the obligations other than those Persons which were obligated with respect to the Indebtedness that was refinanced, renewed, or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the Indebtedness that is extended, refinanced or modified shall not at any time be incurred or guaranteed by any Person other than a Person that is an obligor or a guarantor of the Indebtedness that was refinanced, renewed or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if secured, such Indebtedness that is extended, refinanced or modified shall not be secured by property other than property securing the Indebtedness that was refinanced, renewed or extended;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if the Indebtedness that is extended, refinanced or modified is subordinated to the repayment of the Obligations or to the Liens granted pursuant to the Loan Documents, such Indebtedness that is extended, refinanced or modified shall also be subordinated on terms no less favorable to the Administrative Agent and the Lenders as those that were applicable to the Indebtedness that was refinanced, renewed or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Restricted Payments</w:t>
      </w:r>
      <w:r>
        <w:rPr>
          <w:rFonts w:ascii="Times New Roman" w:hAnsi="Times New Roman"/>
          <w:caps w:val="false"/>
          <w:smallCaps w:val="false"/>
          <w:sz w:val="20"/>
        </w:rPr>
        <w:t>” means any of the following Restricted Payments made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any Loan Party to the Administrative Borrower (in cash) for the payment or reimbursement of taxes, director fees (subject to the limitation of Section 7.02(j)(v)) and reasonable accounting, legal and other administrative and overhead expenses of the Administrative Borrower and other expenses as and when due and owing by the Administrative Borrower in the ordinary course of its business (including salaries and related reasonable and customary expenses incurred by employees of the Administrative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any Subsidiary of any Borrower or any Loan Party to such Borrower or to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Administrative Borrower consisting of (i) payments made or expected to be made in respect of withholding or similar taxes payable by any current or former employee, officer, consultant, or director (or such Person’s heirs, successors or assigns) of any Loan Party and/or (ii) repurchases of Equity Interests in consideration of the payments described in sub-clause (i) above, including demand repurchases, in connection with the exercise of stock options and the issuance of restricted stock units or similar stock 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so long as no Event of Default has occurred and is continuing or would be directly or indirectly caused as a result thereof and the Total Leverage Ratio of the Administrative Borrower and its Subsidiaries (for the consecutive four Fiscal Quarter period of the Administrative Borrower and its Subsidiaries ending as of the Fiscal Quarter immediately prior to the making of such payment for which financial statements of the Administrative Borrower and its Subsidiaries have been received by the Administrative Agent pursuant to Section 7.01(a)) is less than 3.50 to 1.00 after giving pro forma effect thereto: (i) any Loan Party to the Administrative Borrower to allow the Administrative Borrower to make redemptions or repurchases of Equity Interests (or payments with respect to phantom stock units) of the Administrative Borrower owned by a current or former employee, officer, consultant, or director (or such Person’s heirs, successors or assigns) of any Loan Party in connection with the termination, death or disability of employment or engagement of such Person or payments related to any key-man life insurance policy;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amount of all such Restricted Payments made pursuant to this clause (e)(i) shall not exceed $2,500,000 in the aggregate during the term of this Agreement (or, in each case, such higher amount approved by the Collateral Agent in writing), and (ii) any Loan Party to the Administrative Borrower (and the Administrative Borrower to any of its equityholders on a pro rata basis) for any other purpose;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(x) the aggregate amount of all such Restricted Payments made pursuant to this clause (e)(ii) shall not exceed $1,750,000 during any Fiscal Year (or such higher amount approved by the Collateral Agent in writing) and (y) immediately after giving pro forma effect to the making of any Restricted Payment pursuant to this clause (e)(ii), the Loan Parties shall have Liquidity in an amount equal to or greater than $50,000,000;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calculation of Liquidity pursuant to this clause (e)(ii)(y) shall consist of at least $5,000,000 of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the Administrative Borrower in the form of non-cash repurchases of Equity Interests deemed to occur upon exercise of stock options or similar Equity Interests if such repurchased Equity Interests represent a portion of the exercise price of such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so long as no Event of Default has occurred and is continuing prior to making such Restricted Payment or would arise after giving effect thereto, the Administrative Borrower in accordance with stock option plans or other benefit plans for management or employees of the Borrower or its Subsidiaries in an aggregate amount not to exceed $2,500,000 in the aggregate per fiscal year and, in no case, to exceed $5,000,000 in the aggregate during the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so long as no Event of Default has occurred and is continuing prior to making such Restricted Payment or would arise after giving effect thereto, cash payments in lieu of issuing fractional or “odd lot” equity interests in lieu of issuing fractional shares in connection with the exercise of warrants, options or other securities convertible into or exchangeable for equity interests in the Administrative Borrower in an aggregate amount not to exceed $2,500,000 during the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(a) within thirteen (13) Business Days following the Effective Date, the Administrative Borrower in respect of the Existing Notes in an aggregate amount not to exceed $70,000,000 plus accrued interest, fees and expenses thereon, and (b) so long as (i) no Event of Default has occurred and is continuing prior to making such Restricted Payment or would arise after giving effect thereto, and (ii) immediately after giving pro forma effect to the making of such Restricted Payment, the Loan Parties shall be in compliance with Section 7.03, payments in respect of the Existing Notes in an aggregate amount not to exceed $18,000,000 plus accrued interest, fees and expenses thereon, using the issuance of Qualified Equity Interests (or proceeds thereof), the proceeds of Delayed Draw Term Loans or Internally Generated Cash;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commencing on March 1, 2026, any payment from Internally Generated Cash shall be subject to the Administrative Borrower and its Subsidiaries having Specified Liquidity, calculated on a pro forma basis as of the last day of the Fiscal Quarter most recently ended for which the Administrative Borrower was required to deliver financial statements pursuant to Section 7.01(a)(ii), (i) in an aggregate amount equal to or greater than $65,000,000 (which redemption may be made below or at par on or prior to the maturity date of the Existing Notes) or (ii) in an aggregate amount equal to or greater than $50,000,000 but less than $65,000,000 (which redemption may only be made at or below par on the maturity date of the Existing Notes),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case of this clause (ii), (1) 3.0% of the aggregate amount of Internally Generated Cash used to redeem the Existing Notes (each such redemption amount, the “</w:t>
      </w:r>
      <w:r>
        <w:rPr>
          <w:rFonts w:ascii="Times New Roman" w:hAnsi="Times New Roman"/>
          <w:caps w:val="false"/>
          <w:smallCaps w:val="false"/>
          <w:sz w:val="20"/>
          <w:u w:val="single"/>
        </w:rPr>
        <w:t>Specified Payment Amount</w:t>
      </w:r>
      <w:r>
        <w:rPr>
          <w:rFonts w:ascii="Times New Roman" w:hAnsi="Times New Roman"/>
          <w:caps w:val="false"/>
          <w:smallCaps w:val="false"/>
          <w:sz w:val="20"/>
        </w:rPr>
        <w:t xml:space="preserve">”) shall be due, earned and payable ratably to the Lenders on each such date of redemption, and (2) on the last day of each calendar month until the Administrative Borrower shall have received proceeds from Qualified Equity Interests in an amount up to the lesser of (a) the Specified Payment Amount, and (b) the amount of Qualified Equity Interests necessary to cause Specified Liquidity on a pro forma basis as of the last day of the Fiscal Quarter most recently ended for which the Administrative Borrower was required to deliver financial statements pursuant to Section 7.01(a)(ii) to be no less than $65,000,000, the Administrative Borrower shall pay to the Administrative Agent, ratably for the Lenders, 1.0% of the Specified Payment Amount;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(i) any Qualified Equity Interests issued pursuant to this clause (2) shall be issued within six (6) months of the date of such redemption, (ii) the Administrative Borrower shall have delivered a certificate of an Authorized Officer certifying as to compliance with the requirements of this clause (i), and (iii) for the avoidance of doubt, the Administrative Borrower shall not be permitted to use Internally Generated Cash to make any redemption of the Existing Notes pursuant to this clause (i) prior to March 1, 2026, and (c) so long as no Event of Default has occurred and is continuing prior to making such Restricted Payment or would arise after giving effect thereto, regularly-scheduled payments of interest on the Existing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so long as (i) no Event of Default has occurred and is continuing prior to making such Restricted Payment or would arise after giving effect thereto, and (ii) immediately after giving pro forma effect to the making of the making of such Restricted Payment, the Loan Parties shall be in compliance with Section 7.03, the payment of any earn-out payment, seller debt or deferred purchase program (to the extent comprising Permitted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[reserved];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so long as no Event of Default has occurred and is continuing prior to making such Restricted Payment or would arise after giving effect thereto, the Loan Parties may make regularly-scheduled payments in respect of Restricted Indebtedness subject to the Intercompany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Specified Liens</w:t>
      </w:r>
      <w:r>
        <w:rPr>
          <w:rFonts w:ascii="Times New Roman" w:hAnsi="Times New Roman"/>
          <w:caps w:val="false"/>
          <w:smallCaps w:val="false"/>
          <w:sz w:val="20"/>
        </w:rPr>
        <w:t>” means non-consensual Permitted Liens described in clauses (a), (b), (c) and (k) of the definition of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 individual, corporation, limited liability company, partnership, association, joint-stock company, trust, unincorporated organization, joint venture or other enterprise or entity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PIK Election</w:t>
      </w:r>
      <w:r>
        <w:rPr>
          <w:rFonts w:ascii="Times New Roman" w:hAnsi="Times New Roman"/>
          <w:caps w:val="false"/>
          <w:smallCaps w:val="false"/>
          <w:sz w:val="20"/>
        </w:rPr>
        <w:t xml:space="preserve">” has the meaning set forth in Section 2.04(d);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PIK Election shall solely be permitted to apply to all Revolving Loans, Term Loan A, Term Loan B and Delayed Draw Term Loans (and not to any single class or tranche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PIK Notice</w:t>
      </w:r>
      <w:r>
        <w:rPr>
          <w:rFonts w:ascii="Times New Roman" w:hAnsi="Times New Roman"/>
          <w:caps w:val="false"/>
          <w:smallCaps w:val="false"/>
          <w:sz w:val="20"/>
        </w:rPr>
        <w:t>” has the meaning set forth in Section 2.04(d).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Post-Default Rate</w:t>
      </w:r>
      <w:r>
        <w:rPr>
          <w:rFonts w:ascii="Times New Roman" w:hAnsi="Times New Roman"/>
          <w:caps w:val="false"/>
          <w:smallCaps w:val="false"/>
          <w:sz w:val="20"/>
        </w:rPr>
        <w:t>” means a rate of interest per annum equal to the rate of interest otherwise in effect from time to time pursuant to the terms of this Agreement plus 2.00%, or, if a rate of interest is not otherwise in effect, interest at the highest rate specified herein for any Loan then outstanding prior to an Event of Default plus 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PRC</w:t>
      </w:r>
      <w:r>
        <w:rPr>
          <w:rFonts w:ascii="Times New Roman" w:hAnsi="Times New Roman"/>
          <w:caps w:val="false"/>
          <w:smallCaps w:val="false"/>
          <w:sz w:val="20"/>
        </w:rPr>
        <w:t>” means the People’s Republic of China (solely for the purpose of this Agreement, excluding Hong Kong, the Macau Special Administrative Region and the Taiwan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Pro Rata Share</w:t>
      </w:r>
      <w:r>
        <w:rPr>
          <w:rFonts w:ascii="Times New Roman" w:hAnsi="Times New Roman"/>
          <w:caps w:val="false"/>
          <w:smallCaps w:val="false"/>
          <w:sz w:val="20"/>
        </w:rPr>
        <w:t>” means,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a Lender’s obligation to make Revolving Loans and the right to receive payments of interest, fees, and principal with respect thereto, the percentage obtained by dividing (A) such Lender’s Revolving Credit Commitment, by (B) the Total Revolving Credit Commitment, </w:t>
      </w:r>
      <w:r>
        <w:rPr>
          <w:rFonts w:ascii="Times New Roman" w:hAnsi="Times New Roman"/>
          <w:caps w:val="false"/>
          <w:smallCaps w:val="false"/>
          <w:sz w:val="20"/>
          <w:u w:val="single"/>
        </w:rPr>
        <w:t>provided</w:t>
      </w:r>
      <w:r>
        <w:rPr>
          <w:rFonts w:ascii="Times New Roman" w:hAnsi="Times New Roman"/>
          <w:caps w:val="false"/>
          <w:smallCaps w:val="false"/>
          <w:sz w:val="20"/>
        </w:rPr>
        <w:t>, that, if the Total Revolving Credit Commitment has been reduced to zero, the numerator shall be the aggregate unpaid principal amount of such Lender’s Revolving Loans (including Collateral Agent Advances) and the denominator shall be the aggregate unpaid principal amount of all Revolving Loans (including Collateral Agent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a Lender’s obligation to make the Term Loan A and the right to receive payments of interest, fees, and principal with respect thereto, the percentage obtained by dividing (i) such Lender’s Term Loan A Commitment, by (ii) the Total Term Loan A Commitment,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the Total Term Loan A Commitment has been reduced to zero, the numerator shall be the aggregate unpaid principal amount of such Lender’s portion of the Term Loan A and the denominator shall be the aggregate unpaid principal amount of the Term Loan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a Lender’s obligation to make the Term Loan B and the right to receive payments of interest, fees, and principal with respect thereto, the percentage obtained by dividing (i) such Lender’s Term Loan B Commitment, by (ii) the Total Term Loan B Commitment,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the Total Term Loan B Commitment has been reduced to zero, the numerator shall be the aggregate unpaid principal amount of such Lender’s portion of the Term Loan B and the denominator shall be the aggregate unpaid principal amount of the Term Loan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a Lender’s obligation to make the Delayed Draw Term Loan and the right to receive payments of interest, fees, and principal with respect thereto, the percentage obtained by dividing (i) such Lender’s (x) Delayed Draw Term Loan Commitment plus (y) outstanding Delayed Draw Term Loans, by (ii) the (x) Total Delayed Draw Term Loan Commitment plus (y) outstanding Delayed Draw Term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all other matters (including, without limitation, the indemnification obligations arising under Section 10.05), the percentage obtained by dividing (i) the sum of such Lender’s Revolving Credit Commitment, Delayed Draw Term Loan Commitment and the unpaid principal amount of such Lender’s portion of the Term Loan, by (ii) the sum of the Total Revolving Credit Commitment, Delayed Draw Term Loan Commitment and the aggregate unpaid principal amount of the Term Loan, </w:t>
      </w:r>
      <w:r>
        <w:rPr>
          <w:rFonts w:ascii="Times New Roman" w:hAnsi="Times New Roman"/>
          <w:caps w:val="false"/>
          <w:smallCaps w:val="false"/>
          <w:sz w:val="20"/>
          <w:u w:val="single"/>
        </w:rPr>
        <w:t>provided</w:t>
      </w:r>
      <w:r>
        <w:rPr>
          <w:rFonts w:ascii="Times New Roman" w:hAnsi="Times New Roman"/>
          <w:caps w:val="false"/>
          <w:smallCaps w:val="false"/>
          <w:sz w:val="20"/>
        </w:rPr>
        <w:t>, that, if such Lender’s Revolving Credit Commitment shall have been reduced to zero, such Lender’s Revolving Credit Commitment shall be deemed to be the aggregate unpaid principal amount of such Lender’s Revolving Loans (including Collateral Agent Advances) and if the Total Revolving Credit Commitment shall have been reduced to zero, the Total Revolving Credit Commitment shall be deemed to be the aggregate unpaid principal amount of all Revolving Loans (including Collateral Agent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Product</w:t>
      </w:r>
      <w:r>
        <w:rPr>
          <w:rFonts w:ascii="Times New Roman" w:hAnsi="Times New Roman"/>
          <w:caps w:val="false"/>
          <w:smallCaps w:val="false"/>
          <w:sz w:val="20"/>
        </w:rPr>
        <w:t xml:space="preserve">” means any current or future service or product researched, designed, developed, manufactured, tested, licensed, marketed, sold, performed, distributed or otherwise commercialized by the Borrower or any of its Subsidiaries, and any such product in development or which may be developed; </w:t>
      </w:r>
      <w:r>
        <w:rPr>
          <w:rFonts w:ascii="Times New Roman" w:hAnsi="Times New Roman"/>
          <w:i/>
          <w:caps w:val="false"/>
          <w:smallCaps w:val="false"/>
          <w:sz w:val="20"/>
        </w:rPr>
        <w:t>provided</w:t>
      </w:r>
      <w:r>
        <w:rPr>
          <w:rFonts w:ascii="Times New Roman" w:hAnsi="Times New Roman"/>
          <w:caps w:val="false"/>
          <w:smallCaps w:val="false"/>
          <w:sz w:val="20"/>
        </w:rPr>
        <w:t xml:space="preserve">, that for purposes of </w:t>
      </w:r>
      <w:r>
        <w:rPr>
          <w:rFonts w:ascii="Times New Roman" w:hAnsi="Times New Roman"/>
          <w:caps w:val="false"/>
          <w:smallCaps w:val="false"/>
          <w:sz w:val="20"/>
          <w:u w:val="single"/>
        </w:rPr>
        <w:t>Article VI</w:t>
      </w:r>
      <w:r>
        <w:rPr>
          <w:rFonts w:ascii="Times New Roman" w:hAnsi="Times New Roman"/>
          <w:caps w:val="false"/>
          <w:smallCaps w:val="false"/>
          <w:sz w:val="20"/>
        </w:rPr>
        <w:t>, “Product" shall not include products designed, developed and manufactured by third parties that are not Affiliates of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Product Authorizations</w:t>
      </w:r>
      <w:r>
        <w:rPr>
          <w:rFonts w:ascii="Times New Roman" w:hAnsi="Times New Roman"/>
          <w:caps w:val="false"/>
          <w:smallCaps w:val="false"/>
          <w:sz w:val="20"/>
        </w:rPr>
        <w:t>” means any and all approvals (including pricing and reimbursement approvals), licenses, certificates, opinions, notifications, clearances, registrations or authorizations of any Governmental Authority necessary for the manufacture, development, distribution, use, storage, import, export, transport, promotion, marketing, sale or other commercialization of a Product in any country or jurisdiction, including without limitation registration and listing, IDEs, Electronic Product Radiation Control submissions, Device Approval Applications (including any supplements and amendments thereto) or similar applications, post- approval marketing authorizations (including any prerequisite manufacturing approval or authorization related thereto), labeling approvals, and technical, medical, and scientific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Product Market Withdrawals</w:t>
      </w:r>
      <w:r>
        <w:rPr>
          <w:rFonts w:ascii="Times New Roman" w:hAnsi="Times New Roman"/>
          <w:caps w:val="false"/>
          <w:smallCaps w:val="false"/>
          <w:sz w:val="20"/>
        </w:rPr>
        <w:t>” means a correction or removal of a distributed device that involves (i) a minor violation of the FD&amp;C Act that would not be subject to legal action by FDA or that involves no violation of the FD&amp;C, e.g., normal stock rotation practices (defined at 21 C.F.R. § 806.2), or (ii) a minor violation of analogous foreign applicable provisions of Requirements of Law or that involves no violation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Prohibited Person</w:t>
      </w:r>
      <w:r>
        <w:rPr>
          <w:rFonts w:ascii="Times New Roman" w:hAnsi="Times New Roman"/>
          <w:caps w:val="false"/>
          <w:smallCaps w:val="false"/>
          <w:sz w:val="20"/>
        </w:rPr>
        <w:t>” means, at any time, any Person that is (a) a Sanctioned Person or (b) identified on any Trade Control Laws-related list of designated parties, including the Entity List and the Denied Persons List maintained by the Bureau of Industry and Security of the U.S. Department of Commerce.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Projections</w:t>
      </w:r>
      <w:r>
        <w:rPr>
          <w:rFonts w:ascii="Times New Roman" w:hAnsi="Times New Roman"/>
          <w:caps w:val="false"/>
          <w:smallCaps w:val="false"/>
          <w:sz w:val="20"/>
        </w:rPr>
        <w:t>” means financial forecast and projections of the Administrative Borrower and its Subsidiaries delivered pursuant to Section 7.01(a).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Purchase Price</w:t>
      </w:r>
      <w:r>
        <w:rPr>
          <w:rFonts w:ascii="Times New Roman" w:hAnsi="Times New Roman"/>
          <w:caps w:val="false"/>
          <w:smallCaps w:val="false"/>
          <w:sz w:val="20"/>
        </w:rPr>
        <w:t>” means, with respect to any Acquisition, an amount equal to the sum of (a) the aggregate consideration, whether cash, property or securities (including, without limitation, the fair market value of any Equity Interests of any Loan Party or any of its Subsidiaries issued in connection with such Acquisition), paid or delivered by a Loan Party or any of its Subsidiaries (whether as initial consideration or through the payment or disposition of deferred consideration, including, without limitation, in the form of seller financing, royalty payments, payments allocated towards non-compete covenants, payments to principals for consulting services or other similar payments) in connection with such Acquisition, plus (b) the aggregate amount of liabilities of the acquired business (net of current assets of the acquired business) that would be reflected on a balance sheet (if such were to be prepared) of the Administrative Borrower and its Subsidiaries after giving effect to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Q3 2026 Supplemental Premium</w:t>
      </w:r>
      <w:r>
        <w:rPr>
          <w:rFonts w:ascii="Times New Roman" w:hAnsi="Times New Roman"/>
          <w:caps w:val="false"/>
          <w:smallCaps w:val="false"/>
          <w:sz w:val="20"/>
        </w:rPr>
        <w:t>” has the meaning specified therefor in Section 2.06(b)(ii).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Qualified Cash</w:t>
      </w:r>
      <w:r>
        <w:rPr>
          <w:rFonts w:ascii="Times New Roman" w:hAnsi="Times New Roman"/>
          <w:caps w:val="false"/>
          <w:smallCaps w:val="false"/>
          <w:sz w:val="20"/>
        </w:rPr>
        <w:t xml:space="preserve">” means the aggregate amount of unrestricted cash (in each case, free and clear of all Liens other than Permitted Specified Liens) of the Domestic Loan Parties or the Swiss Guarantor held in deposit accounts located within the United States subject to a Control Agreement or Switzerland subject to the Swiss Intellectual Property and Bank Account Pledge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each case, Qualified Cash for purposes of calculating Liquidity (except in connection with the calculation of Liquidity pursuant to (i) the definition of “Specified Liquidity”, (ii) clause (h) of the definition of “Permitted Acquisition”, and (iii) clause (e) of the definition of “Permitted Restricted Payments”) shall include any cash pledged as collateral pursuant to that certain 2002 Master Agreement dated as of August 20, 2025 by and among PNC Bank, National Association and the Administrative Borrower in an amount not to exceed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Qualified Equity Interests</w:t>
      </w:r>
      <w:r>
        <w:rPr>
          <w:rFonts w:ascii="Times New Roman" w:hAnsi="Times New Roman"/>
          <w:caps w:val="false"/>
          <w:smallCaps w:val="false"/>
          <w:sz w:val="20"/>
        </w:rPr>
        <w:t>” means, with respect to any Person, all Equity Interests of such Person that are not Disqualified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Recipient</w:t>
      </w:r>
      <w:r>
        <w:rPr>
          <w:rFonts w:ascii="Times New Roman" w:hAnsi="Times New Roman"/>
          <w:caps w:val="false"/>
          <w:smallCaps w:val="false"/>
          <w:sz w:val="20"/>
        </w:rPr>
        <w:t>” means any Agent and any Lender,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Reference Rate</w:t>
      </w:r>
      <w:r>
        <w:rPr>
          <w:rFonts w:ascii="Times New Roman" w:hAnsi="Times New Roman"/>
          <w:caps w:val="false"/>
          <w:smallCaps w:val="false"/>
          <w:sz w:val="20"/>
        </w:rPr>
        <w:t>” means, for any period, the greatest of (a) 3.00% per annum, (b) the Federal Funds Rate plus 0.50% per annum, (c) SOFR (which rate shall be calculated based upon an Interest Period of 3 months) plus 1.00% per annum, and (d)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Reference Rate shall be effective from and including the date such change is publicly announced as being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Reference Rate Loan</w:t>
      </w:r>
      <w:r>
        <w:rPr>
          <w:rFonts w:ascii="Times New Roman" w:hAnsi="Times New Roman"/>
          <w:caps w:val="false"/>
          <w:smallCaps w:val="false"/>
          <w:sz w:val="20"/>
        </w:rPr>
        <w:t>” means each portion of a Loan that bears interest at a rate determined by reference to the Reference Rate. “</w:t>
      </w:r>
      <w:r>
        <w:rPr>
          <w:rFonts w:ascii="Times New Roman" w:hAnsi="Times New Roman"/>
          <w:caps w:val="false"/>
          <w:smallCaps w:val="false"/>
          <w:sz w:val="20"/>
          <w:u w:val="single"/>
        </w:rPr>
        <w:t>Reference Rate Term SOFR Determination Date</w:t>
      </w:r>
      <w:r>
        <w:rPr>
          <w:rFonts w:ascii="Times New Roman" w:hAnsi="Times New Roman"/>
          <w:caps w:val="false"/>
          <w:smallCaps w:val="false"/>
          <w:sz w:val="20"/>
        </w:rPr>
        <w:t>” has the meaning specified in the definition of “</w:t>
      </w:r>
      <w:r>
        <w:rPr>
          <w:rFonts w:ascii="Times New Roman" w:hAnsi="Times New Roman"/>
          <w:caps w:val="false"/>
          <w:smallCaps w:val="false"/>
          <w:sz w:val="20"/>
          <w:u w:val="single"/>
        </w:rPr>
        <w:t>Term SOFR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Refinancing</w:t>
      </w:r>
      <w:r>
        <w:rPr>
          <w:rFonts w:ascii="Times New Roman" w:hAnsi="Times New Roman"/>
          <w:caps w:val="false"/>
          <w:smallCaps w:val="false"/>
          <w:sz w:val="20"/>
        </w:rPr>
        <w:t>” has the meaning specified therefor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Register</w:t>
      </w:r>
      <w:r>
        <w:rPr>
          <w:rFonts w:ascii="Times New Roman" w:hAnsi="Times New Roman"/>
          <w:caps w:val="false"/>
          <w:smallCaps w:val="false"/>
          <w:sz w:val="20"/>
        </w:rPr>
        <w:t>” has the meaning specified therefor in Section 12.07(f).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Registered Intellectual Property</w:t>
      </w:r>
      <w:r>
        <w:rPr>
          <w:rFonts w:ascii="Times New Roman" w:hAnsi="Times New Roman"/>
          <w:caps w:val="false"/>
          <w:smallCaps w:val="false"/>
          <w:sz w:val="20"/>
        </w:rPr>
        <w:t>” means issued patents, patent applications, registered trademarks, trademark applications, registered copyrights, registered domain names and all other Intellectual Property that is issued, registered, renewed or the subject of a pending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Registered Loans</w:t>
      </w:r>
      <w:r>
        <w:rPr>
          <w:rFonts w:ascii="Times New Roman" w:hAnsi="Times New Roman"/>
          <w:caps w:val="false"/>
          <w:smallCaps w:val="false"/>
          <w:sz w:val="20"/>
        </w:rPr>
        <w:t>” has the meaning specified therefor in Section 12.07(f).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Regulation T</w:t>
      </w:r>
      <w:r>
        <w:rPr>
          <w:rFonts w:ascii="Times New Roman" w:hAnsi="Times New Roman"/>
          <w:caps w:val="false"/>
          <w:smallCaps w:val="false"/>
          <w:sz w:val="20"/>
        </w:rPr>
        <w:t>”, “</w:t>
      </w:r>
      <w:r>
        <w:rPr>
          <w:rFonts w:ascii="Times New Roman" w:hAnsi="Times New Roman"/>
          <w:caps w:val="false"/>
          <w:smallCaps w:val="false"/>
          <w:sz w:val="20"/>
          <w:u w:val="single"/>
        </w:rPr>
        <w:t>Regulation U</w:t>
      </w:r>
      <w:r>
        <w:rPr>
          <w:rFonts w:ascii="Times New Roman" w:hAnsi="Times New Roman"/>
          <w:caps w:val="false"/>
          <w:smallCaps w:val="false"/>
          <w:sz w:val="20"/>
        </w:rPr>
        <w:t>” and “</w:t>
      </w:r>
      <w:r>
        <w:rPr>
          <w:rFonts w:ascii="Times New Roman" w:hAnsi="Times New Roman"/>
          <w:caps w:val="false"/>
          <w:smallCaps w:val="false"/>
          <w:sz w:val="20"/>
          <w:u w:val="single"/>
        </w:rPr>
        <w:t>Regulation X</w:t>
      </w:r>
      <w:r>
        <w:rPr>
          <w:rFonts w:ascii="Times New Roman" w:hAnsi="Times New Roman"/>
          <w:caps w:val="false"/>
          <w:smallCaps w:val="false"/>
          <w:sz w:val="20"/>
        </w:rPr>
        <w:t>” mean, respectively, Regulations T, U and X of the Board or any successor, as the same may be amended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Rejection Notice</w:t>
      </w:r>
      <w:r>
        <w:rPr>
          <w:rFonts w:ascii="Times New Roman" w:hAnsi="Times New Roman"/>
          <w:caps w:val="false"/>
          <w:smallCaps w:val="false"/>
          <w:sz w:val="20"/>
        </w:rPr>
        <w:t>” has the meaning specified therefor in Section 2.05(g).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Related Fund</w:t>
      </w:r>
      <w:r>
        <w:rPr>
          <w:rFonts w:ascii="Times New Roman" w:hAnsi="Times New Roman"/>
          <w:caps w:val="false"/>
          <w:smallCaps w:val="false"/>
          <w:sz w:val="20"/>
        </w:rPr>
        <w:t>” means, with respect to any Person, an Affiliate of such Person, or a fund or account managed by such Person or an Affiliate of such Person, in each case, engaged in making, purchasing, holding or otherwise investing in commercial loans and similar extensions of credit in the ordinary course of its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Related Party</w:t>
      </w:r>
      <w:r>
        <w:rPr>
          <w:rFonts w:ascii="Times New Roman" w:hAnsi="Times New Roman"/>
          <w:caps w:val="false"/>
          <w:smallCaps w:val="false"/>
          <w:sz w:val="20"/>
        </w:rPr>
        <w:t>” means, with respect to any Person, such Person's Affiliates and the partners, directors, officers, employees, agents, trustees, administrators, managers, advisors (including lawyers and accountants) and representatives of such Person and of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Related Party Assignment</w:t>
      </w:r>
      <w:r>
        <w:rPr>
          <w:rFonts w:ascii="Times New Roman" w:hAnsi="Times New Roman"/>
          <w:caps w:val="false"/>
          <w:smallCaps w:val="false"/>
          <w:sz w:val="20"/>
        </w:rPr>
        <w:t>” has the meaning specified therefor in Section 12.07(c)(ii).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Related Party Register</w:t>
      </w:r>
      <w:r>
        <w:rPr>
          <w:rFonts w:ascii="Times New Roman" w:hAnsi="Times New Roman"/>
          <w:caps w:val="false"/>
          <w:smallCaps w:val="false"/>
          <w:sz w:val="20"/>
        </w:rPr>
        <w:t>” has the meaning specified therefor in Section 12.07(f).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Release</w:t>
      </w:r>
      <w:r>
        <w:rPr>
          <w:rFonts w:ascii="Times New Roman" w:hAnsi="Times New Roman"/>
          <w:caps w:val="false"/>
          <w:smallCaps w:val="false"/>
          <w:sz w:val="20"/>
        </w:rPr>
        <w:t>” means any spilling, leaking, pumping, pouring, emitting, emptying, discharging, injecting, escaping, leaching, seeping, dumping or disposing of any Hazardous Material (including the abandonment or discarding of barrels, containers and other closed receptacles containing any Hazardous Material) into the environment, including, without limitation, the migration of previously released Hazardous Materials through or in the ambient air, soil, or surface or ground water.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Relevant Governmental Body</w:t>
      </w:r>
      <w:r>
        <w:rPr>
          <w:rFonts w:ascii="Times New Roman" w:hAnsi="Times New Roman"/>
          <w:caps w:val="false"/>
          <w:smallCaps w:val="false"/>
          <w:sz w:val="20"/>
        </w:rPr>
        <w:t>” means the Federal Reserve Board or the Federal Reserve Bank of New York, or a committee officially endorsed or convened by the Federal Reserve Board or the Federal Reserve Bank of New York,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Remedial Action</w:t>
      </w:r>
      <w:r>
        <w:rPr>
          <w:rFonts w:ascii="Times New Roman" w:hAnsi="Times New Roman"/>
          <w:caps w:val="false"/>
          <w:smallCaps w:val="false"/>
          <w:sz w:val="20"/>
        </w:rPr>
        <w:t>” means any action (a) to correct or address any actual or alleged non-compliance with any Environmental Law or Environmental Permit, or (b) to clean up, remove, remediate, contain, treat, monitor, assess, evaluate, investigate, prevent, minimize or in any other way address any environmental contamination condition or the Release or threatened Release of any Hazardous Material (including the performance of pre-remedial studies and investigations and post-remedial operation and maintenance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Replacement Lender</w:t>
      </w:r>
      <w:r>
        <w:rPr>
          <w:rFonts w:ascii="Times New Roman" w:hAnsi="Times New Roman"/>
          <w:caps w:val="false"/>
          <w:smallCaps w:val="false"/>
          <w:sz w:val="20"/>
        </w:rPr>
        <w:t>” has the meaning specified therefor in Section 12.02(c).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Reportable Event</w:t>
      </w:r>
      <w:r>
        <w:rPr>
          <w:rFonts w:ascii="Times New Roman" w:hAnsi="Times New Roman"/>
          <w:caps w:val="false"/>
          <w:smallCaps w:val="false"/>
          <w:sz w:val="20"/>
        </w:rPr>
        <w:t>” means an event described in Section 4043 of ERISA (other than an event not subject to the provision for 30-day notice to the PBGC under the regulations promulgated under such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Required Delayed Draw Lenders</w:t>
      </w:r>
      <w:r>
        <w:rPr>
          <w:rFonts w:ascii="Times New Roman" w:hAnsi="Times New Roman"/>
          <w:caps w:val="false"/>
          <w:smallCaps w:val="false"/>
          <w:sz w:val="20"/>
        </w:rPr>
        <w:t>” means, at any time, Lenders having unused Delayed Draw Term Loan Commitments representing more than 50% of the sum of the total unused Delayed Draw Term Loan Commitments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Required Lenders</w:t>
      </w:r>
      <w:r>
        <w:rPr>
          <w:rFonts w:ascii="Times New Roman" w:hAnsi="Times New Roman"/>
          <w:caps w:val="false"/>
          <w:smallCaps w:val="false"/>
          <w:sz w:val="20"/>
        </w:rPr>
        <w:t>” means Lenders whose Pro Rata Shares (calculated in accordance with clause (e) of the definition thereof) is more than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Required Revolving Lenders</w:t>
      </w:r>
      <w:r>
        <w:rPr>
          <w:rFonts w:ascii="Times New Roman" w:hAnsi="Times New Roman"/>
          <w:caps w:val="false"/>
          <w:smallCaps w:val="false"/>
          <w:sz w:val="20"/>
        </w:rPr>
        <w:t>” means Revolving Loan Lenders comprising more than 50% of the Total Revolving Credit Commitments held by all Revolving Loan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Requirements of Law</w:t>
      </w:r>
      <w:r>
        <w:rPr>
          <w:rFonts w:ascii="Times New Roman" w:hAnsi="Times New Roman"/>
          <w:caps w:val="false"/>
          <w:smallCaps w:val="false"/>
          <w:sz w:val="20"/>
        </w:rPr>
        <w:t>” means, with respect to any Person, collectively, the common law and all federal, state, provincial, local, foreign, multinational or international laws (including the Healthcare Laws), statutes, codes, treaties, standards, concessions, grants, franchises, governmental agreements, governmental restrictions, plans, rules and regulations, legally binding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Reserves</w:t>
      </w:r>
      <w:r>
        <w:rPr>
          <w:rFonts w:ascii="Times New Roman" w:hAnsi="Times New Roman"/>
          <w:caps w:val="false"/>
          <w:smallCaps w:val="false"/>
          <w:sz w:val="20"/>
        </w:rPr>
        <w:t>” means, as of any date of determination, reserves in such amounts, and with respect to such matters, as the Servicing Agent shall deem necessary or appropriate in its Permitted Discretion, to establish and maintain from time to time against the Borrowing Base, including with respect to (i) price adjustments, damages, unearned discounts, returned products or other matters for which credit memoranda are issued in the ordinary course of any Loan Party’s or Subsidiary’s business; (ii) potential dilution related to Accounts; (iii) shrinkage, spoilage and obsolescence of any Loan Party’s or Subsidiary’s Inventory; (iv) slow moving Inventory; (v) other sums that any Loan Party or its Subsidiaries are required to pay under any provision of this Agreement; (vi) amounts owing by any Loan Party or Subsidiary to any Person to the extent secured by a Lien on, or trust over, any property of any Loan Party or Subsidiary; (vii)  rent for locations at which Inventory is located and as to which the Administrative Agent has not received a Collateral Access Agreement satisfactory to the Servicing Agent; (viii) amounts owing to vendors that have been unpaid for more than 60 days after the due date thereof; and (ix) such other specific events, conditions or contingencies as to which the Servicing Agent, in its Permitted Discretion, determines reserves should be established from time to time hereunder. The amount of any Reserve established by the Servicing Agent shall not be duplicative of any other Reserve established and then maintained.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Resolution Authority</w:t>
      </w:r>
      <w:r>
        <w:rPr>
          <w:rFonts w:ascii="Times New Roman" w:hAnsi="Times New Roman"/>
          <w:caps w:val="false"/>
          <w:smallCaps w:val="false"/>
          <w:sz w:val="20"/>
        </w:rPr>
        <w:t>” means any body which has authority to exercise any Write-down and Conversion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Restricted Indebtedness</w:t>
      </w:r>
      <w:r>
        <w:rPr>
          <w:rFonts w:ascii="Times New Roman" w:hAnsi="Times New Roman"/>
          <w:caps w:val="false"/>
          <w:smallCaps w:val="false"/>
          <w:sz w:val="20"/>
        </w:rPr>
        <w:t>” means (a) any Indebtedness of a Loan Party that is subordinated in right of payment to the Obligations expressly by the terms of such Indebtedness, (b) any Indebtedness of a Loan Party that is secured by a Lien on the Collateral ranking junior to the Lien securing the Obligations and (c) any Indebtedness that is unsecured.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Restricted Payment</w:t>
      </w:r>
      <w:r>
        <w:rPr>
          <w:rFonts w:ascii="Times New Roman" w:hAnsi="Times New Roman"/>
          <w:caps w:val="false"/>
          <w:smallCaps w:val="false"/>
          <w:sz w:val="20"/>
        </w:rPr>
        <w:t xml:space="preserve">” means (a) the declaration or payment of any dividend or other distribution, direct or indirect, on account of any Equity Interests of any Loan Party or any of its Subsidiaries, now or hereafter outstanding (including in connection with an LLC Division; </w:t>
      </w:r>
      <w:r>
        <w:rPr>
          <w:rFonts w:ascii="Times New Roman" w:hAnsi="Times New Roman"/>
          <w:caps w:val="false"/>
          <w:smallCaps w:val="false"/>
          <w:sz w:val="20"/>
          <w:u w:val="single"/>
        </w:rPr>
        <w:t>provided</w:t>
      </w:r>
      <w:r>
        <w:rPr>
          <w:rFonts w:ascii="Times New Roman" w:hAnsi="Times New Roman"/>
          <w:caps w:val="false"/>
          <w:smallCaps w:val="false"/>
          <w:sz w:val="20"/>
        </w:rPr>
        <w:t>, that, for the avoidance of doubt, an LLC Division is not in and of itself a Restricted Payment), (b) the making of any repurchase, redemption, retirement, defeasance, sinking fund or similar payment, purchase or other acquisition for value, direct or indirect, of any Equity Interests of any Loan Party or any direct or indirect parent of any Loan Party, now or hereafter outstanding, (c) the making of any payment to retire, or to obtain the surrender of, any outstanding warrants, options or other rights for the purchase or acquisition of shares of any class of Equity Interests of any Loan Party, now or hereafter outstanding, (d) the return of any Equity Interests to any shareholders or other equity holders of any Loan Party or any of its Subsidiaries, or the making of any other distribution of property, assets, shares of Equity Interests, warrants, rights, options, obligations or securities thereto, in each case, on account of any Person’s interest in Equity Interests of a Loan Party or any of its Subsidiaries, (e) the payment of any earn-out payment, seller debt or deferred purchase program, (f) the payment of or in respect of any Restricted Indebtedness, preferred equity or Disqualified Equity Interests or (g) the payment of any management, consulting, monitoring or advisory fees or any other fees or expenses (including the reimbursement thereof by any Loan Party or any of its Subsidiaries but excluding, for the avoidance of doubt, (x) salary and other forms of compensation for services rendered, and (y) fees, costs, indemnities and expenses paid or accrued to the Board of Directors of the Loan Parties (or any direct or indirect parent company thereof) to the extent permitted to be paid under this Agreement) pursuant to any management, consulting, monitoring, advisory or other services agreement to any of the shareholders or other equityholders of any Loan Party or any of its Subsidiaries or other Affiliates, or to any other Subsidiaries or Affiliates of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Revolving Credit Borrowing</w:t>
      </w:r>
      <w:r>
        <w:rPr>
          <w:rFonts w:ascii="Times New Roman" w:hAnsi="Times New Roman"/>
          <w:caps w:val="false"/>
          <w:smallCaps w:val="false"/>
          <w:sz w:val="20"/>
        </w:rPr>
        <w:t>” means a borrowing consisting of simultaneous Revolving Loans of the same Type and, in the case of SOFR Loans, having the same Interest Period made by each of the Revolving Loan Lenders pursuant to Section 2.01(a).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Revolving Credit Commitment</w:t>
      </w:r>
      <w:r>
        <w:rPr>
          <w:rFonts w:ascii="Times New Roman" w:hAnsi="Times New Roman"/>
          <w:caps w:val="false"/>
          <w:smallCaps w:val="false"/>
          <w:sz w:val="20"/>
        </w:rPr>
        <w:t>” means, with respect to each Lender, the commitment of such Lender to make Revolving Loans to the Borrowers in the amount set forth opposite such Lender’s name in Schedule 1.01(A) hereto or in the Assignment and Acceptance pursuant to which such Lender became a Lender under this Agreement, as such amount may be terminated or reduced from time to time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Revolving Loan</w:t>
      </w:r>
      <w:r>
        <w:rPr>
          <w:rFonts w:ascii="Times New Roman" w:hAnsi="Times New Roman"/>
          <w:caps w:val="false"/>
          <w:smallCaps w:val="false"/>
          <w:sz w:val="20"/>
        </w:rPr>
        <w:t>” means a loan made by a Lender to the Borrowers pursuant to Section 2.01(a)(i).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Revolving Loan Lender</w:t>
      </w:r>
      <w:r>
        <w:rPr>
          <w:rFonts w:ascii="Times New Roman" w:hAnsi="Times New Roman"/>
          <w:caps w:val="false"/>
          <w:smallCaps w:val="false"/>
          <w:sz w:val="20"/>
        </w:rPr>
        <w:t>” means a Lender with a Revolving Credit Commitment or a Revolving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Revolving PIK Amount</w:t>
      </w:r>
      <w:r>
        <w:rPr>
          <w:rFonts w:ascii="Times New Roman" w:hAnsi="Times New Roman"/>
          <w:caps w:val="false"/>
          <w:smallCaps w:val="false"/>
          <w:sz w:val="20"/>
        </w:rPr>
        <w:t>” means, as of any date of determination, the amount of all interest accrued with respect to the Revolving Loans that has been paid in kind by being added to the balance of Term Loan B and the Delayed Draw Term Loan (subject to the Agreement Among Lenders), in accordance with Section 2.04(d).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Sale and Leaseback Transaction</w:t>
      </w:r>
      <w:r>
        <w:rPr>
          <w:rFonts w:ascii="Times New Roman" w:hAnsi="Times New Roman"/>
          <w:caps w:val="false"/>
          <w:smallCaps w:val="false"/>
          <w:sz w:val="20"/>
        </w:rPr>
        <w:t>” means, with respect to the Administrative Borrower or any of its Subsidiaries, any arrangement, directly or indirectly, with any Person whereby the Administrative Borrower or such Subsidiary shall sell or transfer any property used or useful in its business, whether now owned or hereafter acquired, and thereafter rent or lease such property for substantially the same purpose or purposes as the property being sold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Sanctioned Country</w:t>
      </w:r>
      <w:r>
        <w:rPr>
          <w:rFonts w:ascii="Times New Roman" w:hAnsi="Times New Roman"/>
          <w:caps w:val="false"/>
          <w:smallCaps w:val="false"/>
          <w:sz w:val="20"/>
        </w:rPr>
        <w:t>” means, at any time, a country or territory that is itself the subject or target of comprehensive Sanctions (which are, as of the Effective Date, the Crimea region of Ukraine, the so-called Donetsk People’s Republic, the so-called Luhansk People’s Republic, Cuba, Iran, North Korea, and Syria).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Sanctioned Person</w:t>
      </w:r>
      <w:r>
        <w:rPr>
          <w:rFonts w:ascii="Times New Roman" w:hAnsi="Times New Roman"/>
          <w:caps w:val="false"/>
          <w:smallCaps w:val="false"/>
          <w:sz w:val="20"/>
        </w:rPr>
        <w:t xml:space="preserve"> means, at any time, any Person (a) listed in any Sanctions-related list of designated Persons maintained by the United States (including OFAC and the U.S. Department of State), the United Nations Security Council, the European Union or any European Union member state, the United Kingdom (including His Majesty’s Treasury), the Swiss State Secretariat for Economic Affairs SECO or other relevant sanctions authority with jurisdiction over any Loan Party or any Subsidiary thereof, (b) any Person located, organized or resident in a Sanctioned Country or (c) any Person that is the subject or target of Sanctions, including, without limitation, by reason of being owned or controlled directly or indirectly by any Person or Persons described in clauses (a)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Sanctions</w:t>
      </w:r>
      <w:r>
        <w:rPr>
          <w:rFonts w:ascii="Times New Roman" w:hAnsi="Times New Roman"/>
          <w:caps w:val="false"/>
          <w:smallCaps w:val="false"/>
          <w:sz w:val="20"/>
        </w:rPr>
        <w:t>” means economic or financial sanctions or trade embargoes imposed, administered or enforced from time to time by the United States (including OFAC and the U.S. Department of State), the European Union or any European Union member state, the United Kingdom (including His Majesty’s Treasury), the Swiss State Secretariat for Economic Affairs SECO or the Swiss Directorate of International Law or other relevant sanctions authority with jurisdiction over any Loan Party or any Subsidiary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w:t>
      </w:r>
      <w:r>
        <w:rPr>
          <w:rFonts w:ascii="Times New Roman" w:hAnsi="Times New Roman"/>
          <w:caps w:val="false"/>
          <w:smallCaps w:val="false"/>
          <w:sz w:val="20"/>
        </w:rPr>
        <w:t>” means the Securities and Exchange Commission or any other similar or successor agency of the Federal government administering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Second Offer</w:t>
      </w:r>
      <w:r>
        <w:rPr>
          <w:rFonts w:ascii="Times New Roman" w:hAnsi="Times New Roman"/>
          <w:caps w:val="false"/>
          <w:smallCaps w:val="false"/>
          <w:sz w:val="20"/>
        </w:rPr>
        <w:t>” has the meaning specified therefor in Section 2.05(g).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Secured Hedge Agreement</w:t>
      </w:r>
      <w:r>
        <w:rPr>
          <w:rFonts w:ascii="Times New Roman" w:hAnsi="Times New Roman"/>
          <w:caps w:val="false"/>
          <w:smallCaps w:val="false"/>
          <w:sz w:val="20"/>
        </w:rPr>
        <w:t>” means any Hedge Agreement that is entered into by and between any Loan Party and any Hedge Bank and designated in writing by the Hedge Bank and the Borrower to the Administrative Agent as a “</w:t>
      </w:r>
      <w:r>
        <w:rPr>
          <w:rFonts w:ascii="Times New Roman" w:hAnsi="Times New Roman"/>
          <w:caps w:val="false"/>
          <w:smallCaps w:val="false"/>
          <w:sz w:val="20"/>
          <w:u w:val="single"/>
        </w:rPr>
        <w:t>Secured Hedge Agreement</w:t>
      </w:r>
      <w:r>
        <w:rPr>
          <w:rFonts w:ascii="Times New Roman" w:hAnsi="Times New Roman"/>
          <w:caps w:val="false"/>
          <w:smallCaps w:val="false"/>
          <w:sz w:val="20"/>
        </w:rPr>
        <w:t>”; provided that such Hedge Bank delivers (or causes to be delivered) to the Administrative Agent a Hedge Accession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Secured Party</w:t>
      </w:r>
      <w:r>
        <w:rPr>
          <w:rFonts w:ascii="Times New Roman" w:hAnsi="Times New Roman"/>
          <w:caps w:val="false"/>
          <w:smallCaps w:val="false"/>
          <w:sz w:val="20"/>
        </w:rPr>
        <w:t>” means (a) any Agent, (b) any Lender, (c) each Hedge Bank and (d) a receiver or receiver manager or administrative receiver of the whole or any part of the Collateral and any delegate, agent or attorney or co-trustee of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 or any similar Federal statute, and the rules and regulations of the SEC thereunder, all as the same shall be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Securitization</w:t>
      </w:r>
      <w:r>
        <w:rPr>
          <w:rFonts w:ascii="Times New Roman" w:hAnsi="Times New Roman"/>
          <w:caps w:val="false"/>
          <w:smallCaps w:val="false"/>
          <w:sz w:val="20"/>
        </w:rPr>
        <w:t>” has the meaning specified therefor in Section 12.07(l).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Security Agreement</w:t>
      </w:r>
      <w:r>
        <w:rPr>
          <w:rFonts w:ascii="Times New Roman" w:hAnsi="Times New Roman"/>
          <w:caps w:val="false"/>
          <w:smallCaps w:val="false"/>
          <w:sz w:val="20"/>
        </w:rPr>
        <w:t>” means that certain Security Agreement, dated as of June 6, 2025, by and among the Domestic Loan Parties party thereto in favor of the Collateral Agent for the benefit of the Secured Parties, securing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Security Documents</w:t>
      </w:r>
      <w:r>
        <w:rPr>
          <w:rFonts w:ascii="Times New Roman" w:hAnsi="Times New Roman"/>
          <w:caps w:val="false"/>
          <w:smallCaps w:val="false"/>
          <w:sz w:val="20"/>
        </w:rPr>
        <w:t>” means the collective reference to (a) the Security Agreement, (b) the Foreign Security Documents, (c) [reserved], (d) each Intellectual Property Security Agreement, (e) Control Agreement, (f) all other security documents hereafter delivered to the Administrative Agent granting a Lien on any property of any Person to secure the Obligations of any Loan Party arising under any Loan Document, (g) all other security documents hereafter delivered to any applicable Cash Management Bank granting a Lien on any property of any Person to secure the Obligations of any of the Borrowers and/or their Subsidiaries arising under any Cash Management Agreement, and (h) all financing statements, fixture filings, patent, trademark and copyright filings, assignments, acknowledgments and other filings, documents and agreements made or delivered pursuant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Seller</w:t>
      </w:r>
      <w:r>
        <w:rPr>
          <w:rFonts w:ascii="Times New Roman" w:hAnsi="Times New Roman"/>
          <w:caps w:val="false"/>
          <w:smallCaps w:val="false"/>
          <w:sz w:val="20"/>
        </w:rPr>
        <w:t>” means any Person that sells Equity Interests or other property or assets to a Loan Party or a Subsidiary of a Loan Party in a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Servicing Agent</w:t>
      </w:r>
      <w:r>
        <w:rPr>
          <w:rFonts w:ascii="Times New Roman" w:hAnsi="Times New Roman"/>
          <w:caps w:val="false"/>
          <w:smallCaps w:val="false"/>
          <w:sz w:val="20"/>
        </w:rPr>
        <w:t>” has the meaning specified therefor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Servicing Agent Fee Letter</w:t>
      </w:r>
      <w:r>
        <w:rPr>
          <w:rFonts w:ascii="Times New Roman" w:hAnsi="Times New Roman"/>
          <w:caps w:val="false"/>
          <w:smallCaps w:val="false"/>
          <w:sz w:val="20"/>
        </w:rPr>
        <w:t>” means the fee letter, dated as of the date hereof, among the Administrative Borrower and the Servicing Agent, as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Settlement Period</w:t>
      </w:r>
      <w:r>
        <w:rPr>
          <w:rFonts w:ascii="Times New Roman" w:hAnsi="Times New Roman"/>
          <w:caps w:val="false"/>
          <w:smallCaps w:val="false"/>
          <w:sz w:val="20"/>
        </w:rPr>
        <w:t>” has the meaning specified therefor in Section 2.02(c)(i)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SOFR</w:t>
      </w:r>
      <w:r>
        <w:rPr>
          <w:rFonts w:ascii="Times New Roman" w:hAnsi="Times New Roman"/>
          <w:caps w:val="false"/>
          <w:smallCaps w:val="false"/>
          <w:sz w:val="20"/>
        </w:rPr>
        <w:t>” means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SOFR Administrator</w:t>
      </w:r>
      <w:r>
        <w:rPr>
          <w:rFonts w:ascii="Times New Roman" w:hAnsi="Times New Roman"/>
          <w:caps w:val="false"/>
          <w:smallCaps w:val="false"/>
          <w:sz w:val="20"/>
        </w:rPr>
        <w:t>” means the Federal Reserve Bank of New York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SOFR Borrowing</w:t>
      </w:r>
      <w:r>
        <w:rPr>
          <w:rFonts w:ascii="Times New Roman" w:hAnsi="Times New Roman"/>
          <w:caps w:val="false"/>
          <w:smallCaps w:val="false"/>
          <w:sz w:val="20"/>
        </w:rPr>
        <w:t>” means, as to any Borrowing, the SOFR Loans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SOFR Loan</w:t>
      </w:r>
      <w:r>
        <w:rPr>
          <w:rFonts w:ascii="Times New Roman" w:hAnsi="Times New Roman"/>
          <w:caps w:val="false"/>
          <w:smallCaps w:val="false"/>
          <w:sz w:val="20"/>
        </w:rPr>
        <w:t>” means a Loan that bears interest at a rate based on Adjusted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SOFR Notice</w:t>
      </w:r>
      <w:r>
        <w:rPr>
          <w:rFonts w:ascii="Times New Roman" w:hAnsi="Times New Roman"/>
          <w:caps w:val="false"/>
          <w:smallCaps w:val="false"/>
          <w:sz w:val="20"/>
        </w:rPr>
        <w:t>” means a written notice in substantially the form of Exhibit 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Solvent</w:t>
      </w:r>
      <w:r>
        <w:rPr>
          <w:rFonts w:ascii="Times New Roman" w:hAnsi="Times New Roman"/>
          <w:caps w:val="false"/>
          <w:smallCaps w:val="false"/>
          <w:sz w:val="20"/>
        </w:rPr>
        <w:t>” means, (i) with respect to any Person on a particular date, that on such date (a) such Person is able to pay its debts and other liabilities, contingent obligations and other commitments as they become due (whether at maturity or otherwise) in the ordinary course of business, (b) such Person does not intend to, and does not believe that it will, incur debts or liabilities beyond such Person’s ability to pay such debts and liabilities as they become due (whether at maturity or otherwise) in the ordinary course of business, and (c) such Person is not engaged in business or a transaction, and is not about to engage in business or a transaction, for which such Person’s property would constitute unreasonably small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Specified Event of Default</w:t>
      </w:r>
      <w:r>
        <w:rPr>
          <w:rFonts w:ascii="Times New Roman" w:hAnsi="Times New Roman"/>
          <w:caps w:val="false"/>
          <w:smallCaps w:val="false"/>
          <w:sz w:val="20"/>
        </w:rPr>
        <w:t>” means, an Event of Default under Section 9.01(a), (c) (solely in connection with a failure to perform or comply with Section 7.03), (f), (g) or (q).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Specified Jurisdiction</w:t>
      </w:r>
      <w:r>
        <w:rPr>
          <w:rFonts w:ascii="Times New Roman" w:hAnsi="Times New Roman"/>
          <w:caps w:val="false"/>
          <w:smallCaps w:val="false"/>
          <w:sz w:val="20"/>
        </w:rPr>
        <w:t>” means, as of the Effective Date, Japan, Hong Kong, Switzerland the United States and any state thereof, including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Specified Liquidity</w:t>
      </w:r>
      <w:r>
        <w:rPr>
          <w:rFonts w:ascii="Times New Roman" w:hAnsi="Times New Roman"/>
          <w:caps w:val="false"/>
          <w:smallCaps w:val="false"/>
          <w:sz w:val="20"/>
        </w:rPr>
        <w:t>” means Liquidity</w:t>
      </w:r>
      <w:r>
        <w:rPr>
          <w:rFonts w:ascii="Times New Roman" w:hAnsi="Times New Roman"/>
          <w:i/>
          <w:caps w:val="false"/>
          <w:smallCaps w:val="false"/>
          <w:sz w:val="20"/>
        </w:rPr>
        <w:t>,</w:t>
      </w:r>
      <w:r>
        <w:rPr>
          <w:rFonts w:ascii="Times New Roman" w:hAnsi="Times New Roman"/>
          <w:caps w:val="false"/>
          <w:smallCaps w:val="false"/>
          <w:sz w:val="20"/>
        </w:rPr>
        <w:t xml:space="preserve"> </w:t>
      </w:r>
      <w:r>
        <w:rPr>
          <w:rFonts w:ascii="Times New Roman" w:hAnsi="Times New Roman"/>
          <w:i/>
          <w:caps w:val="false"/>
          <w:smallCaps w:val="false"/>
          <w:sz w:val="20"/>
        </w:rPr>
        <w:t>plus</w:t>
      </w:r>
      <w:r>
        <w:rPr>
          <w:rFonts w:ascii="Times New Roman" w:hAnsi="Times New Roman"/>
          <w:caps w:val="false"/>
          <w:smallCaps w:val="false"/>
          <w:sz w:val="20"/>
        </w:rPr>
        <w:t xml:space="preserve"> without duplication, all other unrestricted cash and Cash Equivalents of the Administrative Borrower and its Subsidiaries;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determining Liquidity for purposes of this definition, Domestic Loan Parties must have at least $25,000,000 of Qualified Cash available and included in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Standard &amp; Poor’s</w:t>
      </w:r>
      <w:r>
        <w:rPr>
          <w:rFonts w:ascii="Times New Roman" w:hAnsi="Times New Roman"/>
          <w:caps w:val="false"/>
          <w:smallCaps w:val="false"/>
          <w:sz w:val="20"/>
        </w:rPr>
        <w:t>” means Standard &amp; Poor’s Ratings Services, a division of The McGraw-Hill Companies,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Subsidiary</w:t>
      </w:r>
      <w:r>
        <w:rPr>
          <w:rFonts w:ascii="Times New Roman" w:hAnsi="Times New Roman"/>
          <w:caps w:val="false"/>
          <w:smallCaps w:val="false"/>
          <w:sz w:val="20"/>
        </w:rPr>
        <w:t>” means, with respect to any Person at any date, any corporation, limited or general partnership, limited liability company, trust, estate, association, joint venture or other business entity (a) the accounts of which would be consolidated with those of such Person in such Person’s consolidated financial statements if such financial statements were prepared in accordance with GAAP or (b) of which more than 50% of (i) the outstanding Equity Interests having (in the absence of contingencies) ordinary voting power to elect a majority of the Board of Directors of such Person,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Person. References to a Subsidiary shall mean a Subsidiary of the Administrative Borrower unless the context expressly provides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Supplemental Premium</w:t>
      </w:r>
      <w:r>
        <w:rPr>
          <w:rFonts w:ascii="Times New Roman" w:hAnsi="Times New Roman"/>
          <w:caps w:val="false"/>
          <w:smallCaps w:val="false"/>
          <w:sz w:val="20"/>
        </w:rPr>
        <w:t>” means, collectively, the Amendment No. 2 Supplemental Premium, the Amendment No. 3 Supplemental Premium and the Q3 2026 Supplemental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Swap Obligation</w:t>
      </w:r>
      <w:r>
        <w:rPr>
          <w:rFonts w:ascii="Times New Roman" w:hAnsi="Times New Roman"/>
          <w:caps w:val="false"/>
          <w:smallCaps w:val="false"/>
          <w:sz w:val="20"/>
        </w:rPr>
        <w:t>” means, with respect to any Guarantor, any obligation to pay or perform under any agreement, contract or transaction that constitutes a "swap" within the meaning of section 1a(47)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Swap Termination Value</w:t>
      </w:r>
      <w:r>
        <w:rPr>
          <w:rFonts w:ascii="Times New Roman" w:hAnsi="Times New Roman"/>
          <w:caps w:val="false"/>
          <w:smallCaps w:val="false"/>
          <w:sz w:val="20"/>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Swiss Federal Tax Administration</w:t>
      </w:r>
      <w:r>
        <w:rPr>
          <w:rFonts w:ascii="Times New Roman" w:hAnsi="Times New Roman"/>
          <w:caps w:val="false"/>
          <w:smallCaps w:val="false"/>
          <w:sz w:val="20"/>
        </w:rPr>
        <w:t>” means the tax authorities referred to in article 34 of the Swiss Withholding Tax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Swiss Guarantor</w:t>
      </w:r>
      <w:r>
        <w:rPr>
          <w:rFonts w:ascii="Times New Roman" w:hAnsi="Times New Roman"/>
          <w:caps w:val="false"/>
          <w:smallCaps w:val="false"/>
          <w:sz w:val="20"/>
        </w:rPr>
        <w:t>” means, collectively, Accuray International SARL, a private limited liability company organized under the laws of Switzerland, any other Guarantor incorporated in Switzerland, or a Guarantor which is treated as resident in Switzerland for Swiss Withholding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Swiss Guaranty</w:t>
      </w:r>
      <w:r>
        <w:rPr>
          <w:rFonts w:ascii="Times New Roman" w:hAnsi="Times New Roman"/>
          <w:caps w:val="false"/>
          <w:smallCaps w:val="false"/>
          <w:sz w:val="20"/>
        </w:rPr>
        <w:t>” means Guaranty granted by the Swiss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Swiss Intellectual Property and Bank Account Pledge Agreement</w:t>
      </w:r>
      <w:r>
        <w:rPr>
          <w:rFonts w:ascii="Times New Roman" w:hAnsi="Times New Roman"/>
          <w:caps w:val="false"/>
          <w:smallCaps w:val="false"/>
          <w:sz w:val="20"/>
        </w:rPr>
        <w:t>” means the Swiss law governed intellectual property and bank account pledge agreement to be entered into between Accuray International Sàrl as pledgor, the Collateral Agent as direct representative for and on behalf of the Secured Parties and the Secured Parties regarding a right of pledge over the pledgor’s intellectual property and bank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Swiss Security Documents</w:t>
      </w:r>
      <w:r>
        <w:rPr>
          <w:rFonts w:ascii="Times New Roman" w:hAnsi="Times New Roman"/>
          <w:caps w:val="false"/>
          <w:smallCaps w:val="false"/>
          <w:sz w:val="20"/>
        </w:rPr>
        <w:t>” means the Swiss law-governed agreements, instruments and documents executed by the Loan Parties party thereto (including the Swiss Guarantor) in connection with this Agreement that are intended to create, perfect or evidence Liens to secure the Secured Obligations, including those agreements, instruments and documents set forth on Schedule 7.01(u) and any other similar or related agreements, instruments, and documents executed by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Swiss Withholding Tax</w:t>
      </w:r>
      <w:r>
        <w:rPr>
          <w:rFonts w:ascii="Times New Roman" w:hAnsi="Times New Roman"/>
          <w:caps w:val="false"/>
          <w:smallCaps w:val="false"/>
          <w:sz w:val="20"/>
        </w:rPr>
        <w:t>” means any Tax levied pursuant to the Swiss Withholding Tax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Swiss Withholding Tax Act</w:t>
      </w:r>
      <w:r>
        <w:rPr>
          <w:rFonts w:ascii="Times New Roman" w:hAnsi="Times New Roman"/>
          <w:caps w:val="false"/>
          <w:smallCaps w:val="false"/>
          <w:sz w:val="20"/>
        </w:rPr>
        <w:t>” means the Swiss Federal Act on Withholding Tax (</w:t>
      </w:r>
      <w:r>
        <w:rPr>
          <w:rFonts w:ascii="Times New Roman" w:hAnsi="Times New Roman"/>
          <w:i/>
          <w:caps w:val="false"/>
          <w:smallCaps w:val="false"/>
          <w:sz w:val="20"/>
        </w:rPr>
        <w:t xml:space="preserve">Bundesgesetz </w:t>
      </w:r>
      <w:r>
        <w:rPr>
          <w:rFonts w:ascii="Times New Roman" w:hAnsi="Times New Roman"/>
          <w:caps w:val="false"/>
          <w:smallCaps w:val="false"/>
          <w:sz w:val="20"/>
        </w:rPr>
        <w:t>ü</w:t>
      </w:r>
      <w:r>
        <w:rPr>
          <w:rFonts w:ascii="Times New Roman" w:hAnsi="Times New Roman"/>
          <w:i/>
          <w:caps w:val="false"/>
          <w:smallCaps w:val="false"/>
          <w:sz w:val="20"/>
        </w:rPr>
        <w:t>ber die Verrechnungssteuer vom 13. Oktober 1965, SR 642.21</w:t>
      </w:r>
      <w:r>
        <w:rPr>
          <w:rFonts w:ascii="Times New Roman" w:hAnsi="Times New Roman"/>
          <w:caps w:val="false"/>
          <w:smallCaps w:val="false"/>
          <w:sz w:val="20"/>
        </w:rPr>
        <w:t>), as amended from time to time together with the related ordinances, regulations and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Taxes</w:t>
      </w:r>
      <w:r>
        <w:rPr>
          <w:rFonts w:ascii="Times New Roman" w:hAnsi="Times New Roman"/>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Borrowing</w:t>
      </w:r>
      <w:r>
        <w:rPr>
          <w:rFonts w:ascii="Times New Roman" w:hAnsi="Times New Roman"/>
          <w:caps w:val="false"/>
          <w:smallCaps w:val="false"/>
          <w:sz w:val="20"/>
        </w:rPr>
        <w:t>” means a borrowing consisting of simultaneous Term Loans of the same Type and, in the case of SOFR Loans, having the same Interest Period made by each of the Term Loan Lenders pursuant to Section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Loan</w:t>
      </w:r>
      <w:r>
        <w:rPr>
          <w:rFonts w:ascii="Times New Roman" w:hAnsi="Times New Roman"/>
          <w:caps w:val="false"/>
          <w:smallCaps w:val="false"/>
          <w:sz w:val="20"/>
        </w:rPr>
        <w:t>” means, collectively, the Term Loan A, the Term Loan B, and the Delayed Draw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Loan A</w:t>
      </w:r>
      <w:r>
        <w:rPr>
          <w:rFonts w:ascii="Times New Roman" w:hAnsi="Times New Roman"/>
          <w:caps w:val="false"/>
          <w:smallCaps w:val="false"/>
          <w:sz w:val="20"/>
        </w:rPr>
        <w:t>” means, collectively, the loans made by the Term Loan Lenders to the Borrowers on the Effective Date pursuant to Section 2.01(a)(ii).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Loan A Commitment</w:t>
      </w:r>
      <w:r>
        <w:rPr>
          <w:rFonts w:ascii="Times New Roman" w:hAnsi="Times New Roman"/>
          <w:caps w:val="false"/>
          <w:smallCaps w:val="false"/>
          <w:sz w:val="20"/>
        </w:rPr>
        <w:t>” means, with respect to each Lender, the commitment of such Lender to make the Term Loan A to the Borrowers in the amount set forth in Schedule 1.01(A) hereto or in the Assignment and Acceptance pursuant to which such Lender became a Lender under this Agreement, as the same may be terminated or reduced from time to time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Loan A Lender</w:t>
      </w:r>
      <w:r>
        <w:rPr>
          <w:rFonts w:ascii="Times New Roman" w:hAnsi="Times New Roman"/>
          <w:caps w:val="false"/>
          <w:smallCaps w:val="false"/>
          <w:sz w:val="20"/>
        </w:rPr>
        <w:t>” means a Lender with a Term Loan A Commitment or a Term Loan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Loan B</w:t>
      </w:r>
      <w:r>
        <w:rPr>
          <w:rFonts w:ascii="Times New Roman" w:hAnsi="Times New Roman"/>
          <w:caps w:val="false"/>
          <w:smallCaps w:val="false"/>
          <w:sz w:val="20"/>
        </w:rPr>
        <w:t>” means, collectively, the loans made by the Term Loan Lenders to the Borrowers on the Effective Date pursuant to Section 2.01(a)(iii).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Loan B Commitment</w:t>
      </w:r>
      <w:r>
        <w:rPr>
          <w:rFonts w:ascii="Times New Roman" w:hAnsi="Times New Roman"/>
          <w:caps w:val="false"/>
          <w:smallCaps w:val="false"/>
          <w:sz w:val="20"/>
        </w:rPr>
        <w:t>” means, with respect to each Lender, the commitment of such Lender to make the Term Loan B to the Borrowers in the amount set forth in Schedule 1.01(A) hereto or in the Assignment and Acceptance pursuant to which such Lender became a Lender under this Agreement, as the same may be terminated or reduced from time to time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Loan B Lender</w:t>
      </w:r>
      <w:r>
        <w:rPr>
          <w:rFonts w:ascii="Times New Roman" w:hAnsi="Times New Roman"/>
          <w:caps w:val="false"/>
          <w:smallCaps w:val="false"/>
          <w:sz w:val="20"/>
        </w:rPr>
        <w:t>” means a Lender with a Term Loan B Commitment or a Term Loan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Loan Commitment</w:t>
      </w:r>
      <w:r>
        <w:rPr>
          <w:rFonts w:ascii="Times New Roman" w:hAnsi="Times New Roman"/>
          <w:caps w:val="false"/>
          <w:smallCaps w:val="false"/>
          <w:sz w:val="20"/>
        </w:rPr>
        <w:t>” means, with respect to each Lender, the commitment of such Lender to make the Term Loan to the Borrowers in the amount set forth in Schedule 1.01(A) hereto or in the Assignment and Acceptance pursuant to which such Lender became a Lender under this Agreement, as the same may be terminated or reduced from time to time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Loan Lender</w:t>
      </w:r>
      <w:r>
        <w:rPr>
          <w:rFonts w:ascii="Times New Roman" w:hAnsi="Times New Roman"/>
          <w:caps w:val="false"/>
          <w:smallCaps w:val="false"/>
          <w:sz w:val="20"/>
        </w:rPr>
        <w:t>” means a Lender with a Term Loan Commitment or a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Loan PIK Amount</w:t>
      </w:r>
      <w:r>
        <w:rPr>
          <w:rFonts w:ascii="Times New Roman" w:hAnsi="Times New Roman"/>
          <w:caps w:val="false"/>
          <w:smallCaps w:val="false"/>
          <w:sz w:val="20"/>
        </w:rPr>
        <w:t>” means, as of any date of determination, the amount of all interest accrued with respect to the Term Loans that has been paid in kind by being added to the balance of the applicable Term Loans in accordance with Section 2.04(d).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SOFR</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for any calculation with respect to a SOFR Loan, the Term SOFR Reference Rate for a tenor comparable to the applicable Interest Period on the day (such day, the “</w:t>
      </w:r>
      <w:r>
        <w:rPr>
          <w:rFonts w:ascii="Times New Roman" w:hAnsi="Times New Roman"/>
          <w:caps w:val="false"/>
          <w:smallCaps w:val="false"/>
          <w:sz w:val="20"/>
          <w:u w:val="single"/>
        </w:rPr>
        <w:t>Periodic Term SOFR Determination Day</w:t>
      </w:r>
      <w:r>
        <w:rPr>
          <w:rFonts w:ascii="Times New Roman" w:hAnsi="Times New Roman"/>
          <w:caps w:val="false"/>
          <w:smallCaps w:val="false"/>
          <w:sz w:val="20"/>
        </w:rPr>
        <w:t xml:space="preserve">”) that is two (2) U.S. Government Securities Business Days prior to the first day of such Interest Period, as such rate is published by the Term SOFR Administrator;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if as of 4:00 p.m. (New York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for any calculation with respect to a Reference Rate Loan on any day, the Term SOFR Reference Rate for a tenor of three months on the day (such day, the “</w:t>
      </w:r>
      <w:r>
        <w:rPr>
          <w:rFonts w:ascii="Times New Roman" w:hAnsi="Times New Roman"/>
          <w:caps w:val="false"/>
          <w:smallCaps w:val="false"/>
          <w:sz w:val="20"/>
          <w:u w:val="single"/>
        </w:rPr>
        <w:t>Reference Rate Term SOFR Determination Date</w:t>
      </w:r>
      <w:r>
        <w:rPr>
          <w:rFonts w:ascii="Times New Roman" w:hAnsi="Times New Roman"/>
          <w:caps w:val="false"/>
          <w:smallCaps w:val="false"/>
          <w:sz w:val="20"/>
        </w:rPr>
        <w:t xml:space="preserve">”) that is two (2) U.S. Government Securities Business Days prior to such day, as such rate is published by the Term SOFR Administrator;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if as of 4:00 p.m. (New York time) on any Reference Rate Term SOFR Determination Date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Reference Rate Term SOFR Determination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Term SOFR as so determined shall ever be less than the Floor, then Term SOFR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SOFR Administrator</w:t>
      </w:r>
      <w:r>
        <w:rPr>
          <w:rFonts w:ascii="Times New Roman" w:hAnsi="Times New Roman"/>
          <w:caps w:val="false"/>
          <w:smallCaps w:val="false"/>
          <w:sz w:val="20"/>
        </w:rPr>
        <w:t>” means CME Group Benchmark Administration Limited (CBA) (or a successor administrator of the Term SOFR Reference Rate selected by the Administrative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SOFR Borrowing</w:t>
      </w:r>
      <w:r>
        <w:rPr>
          <w:rFonts w:ascii="Times New Roman" w:hAnsi="Times New Roman"/>
          <w:caps w:val="false"/>
          <w:smallCaps w:val="false"/>
          <w:sz w:val="20"/>
        </w:rPr>
        <w:t>” means, as to any Borrowing, the Loans bearing interest at a rate based on Adjusted Term SOFR comprising such Borrowing other than pursuant to clause (d) of the definition of “Reference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SOFR Reference Rate</w:t>
      </w:r>
      <w:r>
        <w:rPr>
          <w:rFonts w:ascii="Times New Roman" w:hAnsi="Times New Roman"/>
          <w:caps w:val="false"/>
          <w:smallCaps w:val="false"/>
          <w:sz w:val="20"/>
        </w:rPr>
        <w:t>”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Termination Date</w:t>
      </w:r>
      <w:r>
        <w:rPr>
          <w:rFonts w:ascii="Times New Roman" w:hAnsi="Times New Roman"/>
          <w:caps w:val="false"/>
          <w:smallCaps w:val="false"/>
          <w:sz w:val="20"/>
        </w:rPr>
        <w:t>” means the first date on which all of the Obligations (other than (i) Contingent Indemnity Obligations not then due and payable and (ii) Obligations under Secured Hedge Agreements as to which alternative arrangements acceptable to the Hedge Bank thereunder have been made) are paid in full in cash and the Commitments of the Lenders are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Total Commitment</w:t>
      </w:r>
      <w:r>
        <w:rPr>
          <w:rFonts w:ascii="Times New Roman" w:hAnsi="Times New Roman"/>
          <w:caps w:val="false"/>
          <w:smallCaps w:val="false"/>
          <w:sz w:val="20"/>
        </w:rPr>
        <w:t>” means the sum of the Total Revolving Credit Commitment and the Total Term Loan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Total Delayed Draw Term Loan Commitment</w:t>
      </w:r>
      <w:r>
        <w:rPr>
          <w:rFonts w:ascii="Times New Roman" w:hAnsi="Times New Roman"/>
          <w:caps w:val="false"/>
          <w:smallCaps w:val="false"/>
          <w:sz w:val="20"/>
        </w:rPr>
        <w:t>” means the sum of the amounts of the Lenders’ Delayed Draw Term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Total Leverage Ratio</w:t>
      </w:r>
      <w:r>
        <w:rPr>
          <w:rFonts w:ascii="Times New Roman" w:hAnsi="Times New Roman"/>
          <w:caps w:val="false"/>
          <w:smallCaps w:val="false"/>
          <w:sz w:val="20"/>
        </w:rPr>
        <w:t>” means, with respect to any Person and its Subsidiaries for any period, the ratio of (a)(i) all Indebtedness (other than Indebtedness described in clauses (g) and (h) of the definition thereof and the Existing Notes (until June 1, 2026), and (1) in the case of any letter of credit, only to the extent of any unreimbursed amount thereunder, and (2) in the case of any commercial letter of credit, only to the extent of any unreimbursed amount thereunder that remains outstanding for more than 3 Business Days after such commercial letter of credit is drawn) in the definition thereof, and (ii) the amount of trade payables that are outstanding for more than 60 days after the date such payable was due (other than trade payables that are being contested in good faith and by appropriate proceedings promptly initiated and diligently conducted, and a reserve or other appropriate provision, if any, as shall be required by GAAP shall have been made therefor) to (b) Consolidated EBITDA of such Person and its Subsidiaries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Total Revolving Credit Commitment</w:t>
      </w:r>
      <w:r>
        <w:rPr>
          <w:rFonts w:ascii="Times New Roman" w:hAnsi="Times New Roman"/>
          <w:caps w:val="false"/>
          <w:smallCaps w:val="false"/>
          <w:sz w:val="20"/>
        </w:rPr>
        <w:t>” means the sum of the amounts of the Lenders’ Revolving Credit Commitments. For the avoidance of doubt, as of the Effective Date, the amount of the Total Revolving Credit Commitment is $30,000,000.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Total Term Loan A Commitment</w:t>
      </w:r>
      <w:r>
        <w:rPr>
          <w:rFonts w:ascii="Times New Roman" w:hAnsi="Times New Roman"/>
          <w:caps w:val="false"/>
          <w:smallCaps w:val="false"/>
          <w:sz w:val="20"/>
        </w:rPr>
        <w:t>” means the sum of the amounts of the Lenders’ Term Loan A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Total Term Loan B Commitment</w:t>
      </w:r>
      <w:r>
        <w:rPr>
          <w:rFonts w:ascii="Times New Roman" w:hAnsi="Times New Roman"/>
          <w:caps w:val="false"/>
          <w:smallCaps w:val="false"/>
          <w:sz w:val="20"/>
        </w:rPr>
        <w:t>” means the sum of the amounts of the Lenders’ Term Loan B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Total Term Loan Commitment</w:t>
      </w:r>
      <w:r>
        <w:rPr>
          <w:rFonts w:ascii="Times New Roman" w:hAnsi="Times New Roman"/>
          <w:caps w:val="false"/>
          <w:smallCaps w:val="false"/>
          <w:sz w:val="20"/>
        </w:rPr>
        <w:t>” means the sum of the amounts of the Lenders’ Term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Trade Control Laws</w:t>
      </w:r>
      <w:r>
        <w:rPr>
          <w:rFonts w:ascii="Times New Roman" w:hAnsi="Times New Roman"/>
          <w:caps w:val="false"/>
          <w:smallCaps w:val="false"/>
          <w:sz w:val="20"/>
        </w:rPr>
        <w:t>” means (a) any and all laws and regulations imposed, administered or enforced by the U.S. government relating to the control of items, including hardware, software, technology and services, for export or transfer to foreign persons, including, without limitation, the Arms Export Control Act, the Export Control Reform Act of 2018, the International Traffic in Arms Regulations administered by the Directorate of Defense Trade Controls of the U.S. Department of State and the Export Administration Regulations administered by the Bureau of Industry and Security of the U.S. Department of Commerce; and (b) any and all laws and regulations imposed, administered or enforced by any other jurisdiction applicable to any party hereto relating to the control of items, including hardware, software, technology and services, for export or transfer to foreign persons, except if and to the extent in conflict with 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Transaction</w:t>
      </w:r>
      <w:r>
        <w:rPr>
          <w:rFonts w:ascii="Times New Roman" w:hAnsi="Times New Roman"/>
          <w:caps w:val="false"/>
          <w:smallCaps w:val="false"/>
          <w:sz w:val="20"/>
        </w:rPr>
        <w:t>” means, collectively, (a) the Refinancing, (b) the funding of the Loans on the Effective Date, and (c) the payment of the fees and expenses incurred in connection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Treasury Rate</w:t>
      </w:r>
      <w:r>
        <w:rPr>
          <w:rFonts w:ascii="Times New Roman" w:hAnsi="Times New Roman"/>
          <w:caps w:val="false"/>
          <w:smallCaps w:val="false"/>
          <w:sz w:val="20"/>
        </w:rPr>
        <w:t>” means, with respect to any prepayment, a rate per annum (computed on the basis of actual days elapsed over a year of 360 days) equal to the rate determined by the Administrative Agent on the date 3 Business Days prior to the date of such prepayment, to be the yield expressed as a rate listed in The Wall Street Journal for United States Treasury securities most nearly equal to the period from the date of such prepayment, repayment or date of required repayment until the date that is 24 months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Type</w:t>
      </w:r>
      <w:r>
        <w:rPr>
          <w:rFonts w:ascii="Times New Roman" w:hAnsi="Times New Roman"/>
          <w:caps w:val="false"/>
          <w:smallCaps w:val="false"/>
          <w:sz w:val="20"/>
        </w:rPr>
        <w:t>” means, with respect to a Loan, its character as a Reference Rate Loan or a SOFR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UK Bail-In Legislation</w:t>
      </w:r>
      <w:r>
        <w:rPr>
          <w:rFonts w:ascii="Times New Roman" w:hAnsi="Times New Roman"/>
          <w:caps w:val="false"/>
          <w:smallCaps w:val="false"/>
          <w:sz w:val="20"/>
        </w:rPr>
        <w:t>”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Unadjusted Benchmark Replacement</w:t>
      </w:r>
      <w:r>
        <w:rPr>
          <w:rFonts w:ascii="Times New Roman" w:hAnsi="Times New Roman"/>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Uniform Commercial Code</w:t>
      </w:r>
      <w:r>
        <w:rPr>
          <w:rFonts w:ascii="Times New Roman" w:hAnsi="Times New Roman"/>
          <w:caps w:val="false"/>
          <w:smallCaps w:val="false"/>
          <w:sz w:val="20"/>
        </w:rPr>
        <w:t>” or “</w:t>
      </w:r>
      <w:r>
        <w:rPr>
          <w:rFonts w:ascii="Times New Roman" w:hAnsi="Times New Roman"/>
          <w:caps w:val="false"/>
          <w:smallCaps w:val="false"/>
          <w:sz w:val="20"/>
          <w:u w:val="single"/>
        </w:rPr>
        <w:t>UCC</w:t>
      </w:r>
      <w:r>
        <w:rPr>
          <w:rFonts w:ascii="Times New Roman" w:hAnsi="Times New Roman"/>
          <w:caps w:val="false"/>
          <w:smallCaps w:val="false"/>
          <w:sz w:val="20"/>
        </w:rPr>
        <w:t>” has the meaning specified therefor in Section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Unused Line Fee</w:t>
      </w:r>
      <w:r>
        <w:rPr>
          <w:rFonts w:ascii="Times New Roman" w:hAnsi="Times New Roman"/>
          <w:caps w:val="false"/>
          <w:smallCaps w:val="false"/>
          <w:sz w:val="20"/>
        </w:rPr>
        <w:t>” has the meaning specified therefor in Section 2.06(d).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U.S. Borrowing Base</w:t>
      </w:r>
      <w:r>
        <w:rPr>
          <w:rFonts w:ascii="Times New Roman" w:hAnsi="Times New Roman"/>
          <w:caps w:val="false"/>
          <w:smallCaps w:val="false"/>
          <w:sz w:val="20"/>
        </w:rPr>
        <w:t>” means, at any time of determination and without duplication of any asset included in the Non-U.S. Borrowing Base, the result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85% of the net amount U.S. Eligible Accounts at such date,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lesser of (i) 75% of the net book value of all U.S. Eligible Inventory at such time and (ii) 85% of the NOLV of U.S. Eligible Inventory at such date,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through December 31, 2027, the lesser of (i) 25% of the Net Forced Liquidation Value of the U.S. Eligible Intellectual Property and (ii) $4,500,000 less, in the case of this clause (c), as of the last day of each month beginning January 31, 2027, $375,000 for each such month (</w:t>
      </w:r>
      <w:r>
        <w:rPr>
          <w:rFonts w:ascii="Times New Roman" w:hAnsi="Times New Roman"/>
          <w:i/>
          <w:caps w:val="false"/>
          <w:smallCaps w:val="false"/>
          <w:sz w:val="20"/>
        </w:rPr>
        <w:t>i.e.</w:t>
      </w:r>
      <w:r>
        <w:rPr>
          <w:rFonts w:ascii="Times New Roman" w:hAnsi="Times New Roman"/>
          <w:caps w:val="false"/>
          <w:smallCaps w:val="false"/>
          <w:sz w:val="20"/>
        </w:rPr>
        <w:t>, an aggregate amount of $375,000 as of January 31, 2027, an aggregate amount of $750,000 as of February 28, 2027, and so on); provided, however, that in no event shall the result of the calculation in this clause (c) exceed 15% of the Borrowing Base prior to the application of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U.S. Eligible Accounts</w:t>
      </w:r>
      <w:r>
        <w:rPr>
          <w:rFonts w:ascii="Times New Roman" w:hAnsi="Times New Roman"/>
          <w:caps w:val="false"/>
          <w:smallCaps w:val="false"/>
          <w:sz w:val="20"/>
        </w:rPr>
        <w:t>” means an Account (other than the Non-U.S. Eligible Accounts) arising in the ordinary course of the business of a Domestic Loan Party from the sale of goods or rendition of services which the Servicing Agent, in its Permitted Discretion, deems to be a U.S. Eligible Account. Without limiting the generality of the foregoing, no Account shall be a U.S. Eligible Account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it arises out of a sale made or services rendered by a Loan Party to another Loan Party or a Subsidiary or an Affiliate of a Loan Party;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it remains unpaid more than (i) 60 days after the original due date shown on the invoice or (ii) 90 days after the original invoice date shown on the invoice;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the total unpaid Accounts of the Account Debtor exceed 30% of the net amount of all U.S. Eligible Accounts, but only to the extent of such excess;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any covenant, representation or warranty contained in this Agreement or any other Loan Document with respect to such Account has been breached;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(e)    the Account Debtor is also a creditor or supplier of a Loan Party or any Subsidiary of a Loan Party, or the Account Debtor has disputed liability with respect to such Account, or the Account Debtor has made any claim with respect to any other Account due from such Account Debtor to a Loan Party or any Subsidiary of a Loan Party, or the Account otherwise is or may become subject to right of setoff by the Account Debtor;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Account shall be eligible to the extent such amount exceeds such contract, dispute, claim, setoff or similar right;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the Account Debtor has commenced a voluntary case under any Debtor Relief Laws, or any other petition or other application for relief under Debtor Relief Laws has been filed against the Account Debtor, or if the Account Debtor has failed, suspended business, ceased to be Solvent, or consented to or suffered a receiver, trustee, assignee for the benefit of creditors, liquidator or custodian to be appointed for it or for all or a significant portion of its assets or affairs;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it arises from a sale made or services rendered to an Account Debtor which either (i) does not maintain its chief executive office in the United States or (ii) is not organized under the laws of the United States or any state or province thereof unless (A) the Account is supported by an irrevocable letter of credit reasonably satisfactory to the Servicing Agent (as to form, substance, and issuer or domestic confirming bank) that has been delivered to the Servicing Agent and, if requested by the Servicing Agent, is directly drawable by the Servicing Agent, or (B) the Account is covered by credit insurance in form, substance, and amount, and by an insurer, reasonably satisfactory to the Servicing Agent;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(h)    (i) it arises from a sale to an Account Debtor on a bill-and-hold, guaranteed sale, sale-or-return, sale-on-approval, consignment, or any other repurchase or return basis, or (ii) it is subject to a reserve established by a Loan Party for potential returns or refunds, to the extent of such reserve or (iii) it arises from a sale to an Account Debtor that is subject to cash-on-delivery terms;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(i)    the Account Debtor is (A) the United States of America or any department, agency or instrumentality thereof, unless the applicable Loan Party assigns its right to payment of such Account to the Servicing Agent, in a manner satisfactory to the Servicing Agent, in its Permitted Discretion, so as to comply with the Assignment of Claims Act of 1940 (31 U.S.C. §203 </w:t>
      </w:r>
      <w:r>
        <w:rPr>
          <w:rFonts w:ascii="Times New Roman" w:hAnsi="Times New Roman"/>
          <w:caps w:val="false"/>
          <w:smallCaps w:val="false"/>
          <w:sz w:val="20"/>
          <w:u w:val="single"/>
        </w:rPr>
        <w:t>et</w:t>
      </w:r>
      <w:r>
        <w:rPr>
          <w:rFonts w:ascii="Times New Roman" w:hAnsi="Times New Roman"/>
          <w:caps w:val="false"/>
          <w:smallCaps w:val="false"/>
          <w:sz w:val="20"/>
        </w:rPr>
        <w:t> </w:t>
      </w:r>
      <w:r>
        <w:rPr>
          <w:rFonts w:ascii="Times New Roman" w:hAnsi="Times New Roman"/>
          <w:caps w:val="false"/>
          <w:smallCaps w:val="false"/>
          <w:sz w:val="20"/>
          <w:u w:val="single"/>
        </w:rPr>
        <w:t>seq.</w:t>
      </w:r>
      <w:r>
        <w:rPr>
          <w:rFonts w:ascii="Times New Roman" w:hAnsi="Times New Roman"/>
          <w:caps w:val="false"/>
          <w:smallCaps w:val="false"/>
          <w:sz w:val="20"/>
        </w:rPr>
        <w:t>, as amended) or (B) any State of the United States or any other Governmental Authority;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(j)    (i) it is not subject to a first priority perfected security interest in favor of the Administrative Agent (for the benefit of the Secured Parties) or (ii) is subject to any Lien (other than (A) a Lien in favor of the Administrative Agent (for the benefit of the Secured Parties) and (B) a Permitted Lien that does not have priority over the Lien in favor of the Administrative Agent (for the benefit of the Secured Parties));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(k)    the goods giving rise to such Account have not been delivered to and accepted by the Account Debtor or the services giving rise to such Account have not been performed by the applicable Domestic Loan Party and accepted by the Account Debtor or the Account otherwise does not represent a final sale;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(l)    the Loan Parties have not sent a bill or invoice for the goods or services giving rise to such Account to the applicable Account Debtor;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(m)    it represents the right to receive progress payments or other advance billings that are due prior to the completion of performance by the applicable Domestic Loan Party of the subject contract for goods or services;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(n)    it represents credit card sales;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(o)    the Account is evidenced by chattel paper or an instrument of any kind, or has been reduced to judgment;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(p)    any Loan Party or a Subsidiary of any Loan Party has made any agreement with the Account Debtor for any extension, compromise, settlement or modification of the Account or deduction therefrom, except for discounts or allowances which are made in the ordinary course of business for prompt payment and which discounts or allowances are reflected in the calculation of the face value of each invoice related to such Account;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(q)    50% or more of the Accounts owing from the Account Debtor are not U.S. Eligible Accounts as a result of the application of clause (b) of this definition;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(r)    it represents service charges, late fees or similar charges;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(s)    it is not denominated in Dollars;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(t)    its payment has been extended, the Account Debtor has made a partial payment or the Account Debtor has made any payment that has not been applied;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(u)    the Servicing Agent believes the collection of such Account to be doubtful, including by reason of the Account Debtor's financial condition;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(v)    it is not otherwise acceptable to the Servicing Agent in its Permitted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no Accounts acquired through an Acquisition shall be U.S. Eligible Accounts until such time as the Servicing Agent shall have received and be satisfied with the results of a field examination with respect thereto, such field examination to be conducted at the Loan Parties’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U.S. Eligible Intellectual Property</w:t>
      </w:r>
      <w:r>
        <w:rPr>
          <w:rFonts w:ascii="Times New Roman" w:hAnsi="Times New Roman"/>
          <w:caps w:val="false"/>
          <w:smallCaps w:val="false"/>
          <w:sz w:val="20"/>
        </w:rPr>
        <w:t>” means Intellectual Property used in connection with a Domestic Loan Party’s business that is acceptable to the Servicing Agent in its Permitted Discretion for inclusion in the U.S. Borrowing Base and that, except as otherwise agreed by the Servicing Agent, satisfies all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(a)    such Intellectual Property is validly registered with the U.S. Patent and Trademark Office or the U.S. Copyright Office, as applicable;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(b)    such Intellectual Property is solely owned by a Domestic Loan Party that has good, valid and marketable title thereto, and such Domestic Loan Party is identified as the owner thereof in the records of the U.S. Patent and Trademark Office or the U.S. Copyright Office, as applicable;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(c)    such Intellectual Property is subject to a first priority Lien in favor of the Administrative Agent (for the benefit of the Secured Parties) and is not subject to any other Lien (other than a Permitted Lien that does not have priority over the Lien in favor of the Administrative Agent (for the benefit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(d)    such Intellectual Property is not subject to any licensing, trademark, trade name or other agreement with any third Person (i) that would require any consent of such third Person for the sale or disposition of such Intellectual Property (which consent has not been obtained in form and substance reasonably satisfactory to the Servicing Agent) or the payment of any monies to such third Person upon such sale or other disposition or (ii) from whom a Domestic Loan Party has received notice of a dispute in respect of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(e)    such Intellectual Property is not subject to any valid claim or assertion (whether in writing, by suit or otherwise) that such Domestic Loan Party’s ownership or use of such Intellectual Property violates the Intellectual Property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(f)    the Servicing Agent shall have received evidence that all actions that the Servicing Agent may reasonably deem necessary or appropriate in order to create and perfect first priority in favor of the Administrative Agent (for the benefit of the Secured Parties) on such Intellectual Property (including, without limitation, filings at the U.S. Patent and Trademark Office or the U.S. Copyright Office, as applicable) have been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(g)    such Intellectual Property conforms to all representations, warranties or other provisions in this Agreement and the other Loan Documents relating to Intellectual Property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(h)    the Servicing Agent shall have received an appraisal of such Intellectual Property by a third party appraiser reasonably acceptable to the Servicing Agent and otherwise in form and substance reasonably satisfactory to the Servicing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there are no facts, events or occurrences that, as determined by the Servicing Agent in is Permitted Discretion, would impair the validity, enforceability or usability of such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clarity, U.S. Eligible Intellectual Property shall not include any proceeds generated from the use or license of such Intellectual Property. Notwithstanding the foregoing, no Intellectual Property acquired through an Acquisition shall be U.S. Eligible Intellectual Property until such time as the Servicing Agent shall have received and be satisfied with the results of a valuation with respect thereto, such valuation to be conducted at the Loan Parties’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U.S. Eligible Inventory</w:t>
      </w:r>
      <w:r>
        <w:rPr>
          <w:rFonts w:ascii="Times New Roman" w:hAnsi="Times New Roman"/>
          <w:caps w:val="false"/>
          <w:smallCaps w:val="false"/>
          <w:sz w:val="20"/>
        </w:rPr>
        <w:t>” means Inventory (other than Non-U.S. Eligible Inventory) of a Domestic Loan Party that the Servicing Agent, in its Permitted Discretion, deems to be U.S. Eligible Inventory. Without limiting the generality of the foregoing, no Inventory shall be U.S. Eligible Inventory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it is work in process;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it is not in saleable condition;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it does not meet all standards imposed by any Governmental Authority;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it does not conform in all respects to any covenants, warranties and representations set forth in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(i) it is not subject to a first priority perfected security interest in favor of the Administrative Agent (for the benefit of the Secured Parties) or (ii) is subject to any Lien (other than (A) a Lien in favor of the Administrative Agent (for the benefit of the Secured Parties) and (B) a Permitted Lien that does not have priority over the Lien in favor of the Administrative Agent (for the benefit of the Secured Parties));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it is situated at a location outside the United States of America;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it is not situated at a location in compliance with this Agreement, provided that Inventory situated at a location not owned by a Domestic Loan Party will be U.S. Eligible Inventory only if the Administrative Agent has received a Collateral Access Agreement with respect to such location satisfactory to the Servicing Agent or if the Servicing Agent has established an applicable Reserve;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(h)    it is in transit (other than Inventory that is in transit between locations of the Domestic Loan Parties within the United States);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it consists of packaging materials, supplies, tooling, or samples;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(j)    it is subject to any licensing, royalty or other Intellectual Property agreement with any third party (i) that would require any consent of any third party for the Disposition of such Inventory (which consent has not been obtained) or the payment of any monies to any third party upon such Disposition (to the extent of such monies), (ii) from whom any Domestic Loan Party has received written notice of a dispute in respect of such agreement, to the extent that the Servicing Agent determines, in its Permitted Discretion, that such dispute could be expected to prevent or impair the Disposition of such Inventory, or (iii) the Servicing Agent otherwise determines, in its Permitted Discretion, that such Inventory cannot be freely Disposed of by the Servicing Agent during the continuance of an Event of Default;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(k)    it is not otherwise acceptable to the Servicing Agent in its Permitted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no Inventory acquired through an Acquisition shall be U.S. Eligible Inventory until such time as the Servicing Agent shall have received and be satisfied with the results of a field examination and inventory appraisal with respect thereto, such field examination and inventory appraisal to be conducted at the Loan Parties’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U.S. Government Securities Business Day</w:t>
      </w:r>
      <w:r>
        <w:rPr>
          <w:rFonts w:ascii="Times New Roman" w:hAnsi="Times New Roman"/>
          <w:caps w:val="false"/>
          <w:smallCaps w:val="false"/>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U.S. Person</w:t>
      </w:r>
      <w:r>
        <w:rPr>
          <w:rFonts w:ascii="Times New Roman" w:hAnsi="Times New Roman"/>
          <w:caps w:val="false"/>
          <w:smallCaps w:val="false"/>
          <w:sz w:val="20"/>
        </w:rPr>
        <w:t>” means any Person that is a “United States Person” as defined in Section 7701(a)(30)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USA PATRIOT Act</w:t>
      </w:r>
      <w:r>
        <w:rPr>
          <w:rFonts w:ascii="Times New Roman" w:hAnsi="Times New Roman"/>
          <w:caps w:val="false"/>
          <w:smallCaps w:val="false"/>
          <w:sz w:val="20"/>
        </w:rPr>
        <w:t>” means the Uniting and Strengthening America by Providing Appropriate Tools Required to Intercept and Obstruct Terrorism (PATRIOT) Act of 2001 (Title III of Pub. L. 107-56, Oct. 26, 2001)) as amended by the USA Patriot Improvement and Reauthorization Act of 2005 (Pub. L. 109-177, March 9, 2006) and as the same may have been or may be further renewed, extended, amended, or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Warrants</w:t>
      </w:r>
      <w:r>
        <w:rPr>
          <w:rFonts w:ascii="Times New Roman" w:hAnsi="Times New Roman"/>
          <w:caps w:val="false"/>
          <w:smallCaps w:val="false"/>
          <w:sz w:val="20"/>
        </w:rPr>
        <w:t>” mean those certain common stock purchase warrants, delivered by Administrative Borrower to each Holder (as defined therein) on June 6, 2025, issued in connection with the transactions contemplated hereby, which entitle the Holders to collectively acquire, in whole or in part, up to 23,359,239 fully paid and nonassessable shares of common stock of the Administrative Borrower in the aggregate upon payment of the exercise price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Withholding Agent</w:t>
      </w:r>
      <w:r>
        <w:rPr>
          <w:rFonts w:ascii="Times New Roman" w:hAnsi="Times New Roman"/>
          <w:caps w:val="false"/>
          <w:smallCaps w:val="false"/>
          <w:sz w:val="20"/>
        </w:rPr>
        <w:t>” means any Loan Party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Working Capital</w:t>
      </w:r>
      <w:r>
        <w:rPr>
          <w:rFonts w:ascii="Times New Roman" w:hAnsi="Times New Roman"/>
          <w:caps w:val="false"/>
          <w:smallCaps w:val="false"/>
          <w:sz w:val="20"/>
        </w:rPr>
        <w:t xml:space="preserve">” means, at any date of determination thereof, (a) the sum, for any Person and its Subsidiaries, of (i) the unpaid face amount of all Accounts of such Person and its Subsidiaries as at such date of determination, </w:t>
      </w:r>
      <w:r>
        <w:rPr>
          <w:rFonts w:ascii="Times New Roman" w:hAnsi="Times New Roman"/>
          <w:caps w:val="false"/>
          <w:smallCaps w:val="false"/>
          <w:sz w:val="20"/>
          <w:u w:val="single"/>
        </w:rPr>
        <w:t xml:space="preserve">plus </w:t>
      </w:r>
      <w:r>
        <w:rPr>
          <w:rFonts w:ascii="Times New Roman" w:hAnsi="Times New Roman"/>
          <w:caps w:val="false"/>
          <w:smallCaps w:val="false"/>
          <w:sz w:val="20"/>
        </w:rPr>
        <w:t xml:space="preserve">(ii) the aggregate amount of prepaid expenses and other current assets of such Person and its Subsidiaries as at such date of determination (other than cash, Cash Equivalents and any Indebtedness owing to such Person or any of its Subsidiaries by Affiliates of such Person), </w:t>
      </w:r>
      <w:r>
        <w:rPr>
          <w:rFonts w:ascii="Times New Roman" w:hAnsi="Times New Roman"/>
          <w:caps w:val="false"/>
          <w:smallCaps w:val="false"/>
          <w:sz w:val="20"/>
          <w:u w:val="single"/>
        </w:rPr>
        <w:t xml:space="preserve">minus </w:t>
      </w:r>
      <w:r>
        <w:rPr>
          <w:rFonts w:ascii="Times New Roman" w:hAnsi="Times New Roman"/>
          <w:caps w:val="false"/>
          <w:smallCaps w:val="false"/>
          <w:sz w:val="20"/>
        </w:rPr>
        <w:t xml:space="preserve">(b) the sum, for such Person and its Subsidiaries, of (i) the unpaid amount of all accounts payable of such Person and its Subsidiaries as at such date of determination, </w:t>
      </w:r>
      <w:r>
        <w:rPr>
          <w:rFonts w:ascii="Times New Roman" w:hAnsi="Times New Roman"/>
          <w:caps w:val="false"/>
          <w:smallCaps w:val="false"/>
          <w:sz w:val="20"/>
          <w:u w:val="single"/>
        </w:rPr>
        <w:t xml:space="preserve">plus </w:t>
      </w:r>
      <w:r>
        <w:rPr>
          <w:rFonts w:ascii="Times New Roman" w:hAnsi="Times New Roman"/>
          <w:caps w:val="false"/>
          <w:smallCaps w:val="false"/>
          <w:sz w:val="20"/>
        </w:rPr>
        <w:t>(ii) the aggregate amount of all accrued expenses of such Person and its Subsidiaries as at such date of determination (other than the current portion of long-term debt and all accrued interest and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u w:val="single"/>
        </w:rPr>
        <w:t>“</w:t>
      </w:r>
      <w:r>
        <w:rPr>
          <w:rFonts w:ascii="Times New Roman" w:hAnsi="Times New Roman"/>
          <w:caps w:val="false"/>
          <w:smallCaps w:val="false"/>
          <w:sz w:val="20"/>
          <w:u w:val="single"/>
        </w:rPr>
        <w:t>Write-down and Conversion Powers</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relation to any Bail-In Legislation described in the EU Bail-In Legislation Schedule from time to time, the powers described as such in relation to that Bail-In Legislation in the EU Bail-In Legislation Schedule;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both"/>
              <w:rPr/>
            </w:pPr>
            <w:r>
              <w:rPr/>
              <w:t> </w:t>
            </w:r>
          </w:p>
        </w:tc>
        <w:tc>
          <w:tcPr>
            <w:tcW w:w="19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tc>
      </w:tr>
    </w:tbl>
    <w:p>
      <w:pPr>
        <w:pStyle w:val="TextBody"/>
        <w:bidi w:val="0"/>
        <w:spacing w:before="0" w:after="0"/>
        <w:ind w:left="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60"/>
        <w:gridCol w:w="230"/>
        <w:gridCol w:w="4430"/>
      </w:tblGrid>
      <w:tr>
        <w:trPr/>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44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relation to any other applicable Bail-In Legislation: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9"/>
        <w:gridCol w:w="9996"/>
      </w:tblGrid>
      <w:tr>
        <w:trPr/>
        <w:tc>
          <w:tcPr>
            <w:tcW w:w="60" w:type="dxa"/>
            <w:tcBorders/>
            <w:vAlign w:val="center"/>
          </w:tcPr>
          <w:p>
            <w:pPr>
              <w:pStyle w:val="TableContents"/>
              <w:bidi w:val="0"/>
              <w:spacing w:before="0" w:after="283"/>
              <w:jc w:val="both"/>
              <w:rPr/>
            </w:pPr>
            <w:r>
              <w:rPr/>
              <w:t> </w:t>
            </w:r>
          </w:p>
        </w:tc>
        <w:tc>
          <w:tcPr>
            <w:tcW w:w="1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99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455" w:type="dxa"/>
        <w:jc w:val="left"/>
        <w:tblInd w:w="0" w:type="dxa"/>
        <w:tblLayout w:type="fixed"/>
        <w:tblCellMar>
          <w:top w:w="0" w:type="dxa"/>
          <w:left w:w="0" w:type="dxa"/>
          <w:bottom w:w="0" w:type="dxa"/>
          <w:right w:w="0" w:type="dxa"/>
        </w:tblCellMar>
      </w:tblPr>
      <w:tblGrid>
        <w:gridCol w:w="60"/>
        <w:gridCol w:w="260"/>
        <w:gridCol w:w="5135"/>
      </w:tblGrid>
      <w:tr>
        <w:trPr/>
        <w:tc>
          <w:tcPr>
            <w:tcW w:w="60"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w:t>
            </w:r>
          </w:p>
        </w:tc>
        <w:tc>
          <w:tcPr>
            <w:tcW w:w="5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similar or analogous powers under that Bail-In Legislation.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1.02    </w:t>
      </w:r>
      <w:r>
        <w:rPr>
          <w:rFonts w:ascii="Times New Roman" w:hAnsi="Times New Roman"/>
          <w:caps w:val="false"/>
          <w:smallCaps w:val="false"/>
          <w:sz w:val="20"/>
          <w:u w:val="single"/>
        </w:rPr>
        <w:t>Terms Generally</w:t>
      </w:r>
      <w:r>
        <w:rPr>
          <w:rFonts w:ascii="Times New Roman" w:hAnsi="Times New Roman"/>
          <w:caps w:val="false"/>
          <w:smallCaps w:val="false"/>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but only to the extent that such amendments, restatements, supplements or modifications are not prohibited by this Agreement,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right or interest in or to assets and properties of any kind whatsoever, whether real, personal or mixed and whether tangible or intangible, (f) in the computation of periods of time from a specified date to a later specified date, the word “from” means “from and including”; the words “to” and “until” each mean “to but excluding”; and the word “through” means “to and including”, (g) the words “asset” and “property” shall be construed as having the same meaning and effect and to refer to any and all tangible and intangible assets and properties, including cash, securities, accounts and contract rights, (h) all references to any Governmental Authority shall be construed as including any other Governmental Authority that shall have succeeded to any or all of the functions thereof, (i) [reserved], and (j) references to any law shall include all statutory and regulatory provisions consolidating, amending, replacing, supplementing, modifying or interpreting such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1.03    </w:t>
      </w:r>
      <w:r>
        <w:rPr>
          <w:rFonts w:ascii="Times New Roman" w:hAnsi="Times New Roman"/>
          <w:caps w:val="false"/>
          <w:smallCaps w:val="false"/>
          <w:sz w:val="20"/>
          <w:u w:val="single"/>
        </w:rPr>
        <w:t>Certain Matters of Construction</w:t>
      </w:r>
      <w:r>
        <w:rPr>
          <w:rFonts w:ascii="Times New Roman" w:hAnsi="Times New Roman"/>
          <w:caps w:val="false"/>
          <w:smallCaps w:val="false"/>
          <w:sz w:val="20"/>
        </w:rPr>
        <w:t>. References in this Agreement to “determination” by any Agent include good faith reasonable estimates by such Agent (in the case of quantitative determinations) and good faith reasonable beliefs by such Agent (in the case of qualitative determinations). A Default or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the Required Lenders, each Lender affected thereby or all Lenders, as applicable, pursuant to this Agreement. Any Lien referred to in this Agreement or any other Loan Document as having been created in favor of any Agent, any agreement entered into by any Agent pursuant to this Agreement or any other Loan Document, any payment made by or to or funds received by any Agent pursuant to or as contemplated by this Agreement or any other Loan Document, or any act taken or omitted to be taken by any Agent, shall, unless otherwise expressly provided, be created, entered into, made or received, or taken or omitted, for the benefit or account of the Agents and the Lenders. Wherever the phrase “to the knowledge of any Loan Party” or words of similar import relating to the knowledge or the awareness of any Loan Party are used in this Agreement or any other Loan Document, such phrase shall mean and refer to (i) the actual knowledge of a senior officer of any Loan Party or (ii) the knowledge that a senior officer would have obtained if such officer had engaged in good faith and diligent performance of such officer’s duties, including the making of such reasonably specific inquiries as may be necessary of the employees or agents of such Loan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1.04    </w:t>
      </w:r>
      <w:r>
        <w:rPr>
          <w:rFonts w:ascii="Times New Roman" w:hAnsi="Times New Roman"/>
          <w:caps w:val="false"/>
          <w:smallCaps w:val="false"/>
          <w:sz w:val="20"/>
          <w:u w:val="single"/>
        </w:rPr>
        <w:t>Accounting and Other Terms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Unless otherwise expressly provided herein, each accounting term used herein shall have the meaning given it under GAAP. For purposes of determining compliance with any incurrence or expenditure tests set forth herein, any amounts so incurred or expended (to the extent incurred or expended in a currency other than Dollars) shall be converted into Dollars on the basis of the exchange rates (as shown on the Bloomberg currency page for such currency or, if the same does not provide such exchange rate, by reference to such other publicly available service for displaying exchange rates as may be reasonably selected by the Agents or, in the event no such service is selected, on such other basis as is reasonably satisfactory to the Agents) as in effect on the date of such incurrence or expenditure under any provision of any such Section that has an aggregate Dollar limitation provided for therein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(as shown on the Bloomberg currency page for such currency or, if the same does not provide such exchange rate, by reference to such other publicly available service for displaying exchange rates as may be reasonably selected by the Agents or, in the event no such service is selected, on such other basis as is reasonably satisfactory to the Agents) as in effect on the date of any new incurrence or expenditures made under any provision of any such Section that regulates the Dollar amount outstanding at any time). Notwithstanding the foregoing, (i) with respect to the accounting for leases as either operating leases or capital leases and the impact of such accounting in accordance with FASB ASC 840 on the definitions and covenants herein, GAAP as in effect on the Effective Date shall be applied and (ii) for purposes of determining compliance with any covenant (including the computation of any financial covenant) contained herein, Indebtedness of the Administrative Borrower and its Subsidiaries shall be deemed to be carried at 100% of the outstanding principal amount thereof, and the effects of FASB ASC 825 and FASB ASC 470-20 on financial liabilities shall be disregarded. All references in this Agreement to consolidated financial statements of the Administrative Borrower and its Subsidiaries or to the determination of any amount for the Administrative Borrower and its Subsidiaries on a consolidated basis or any similar reference shall, in each case, be deemed to include each variable interest entity that the Administrative Borrower is required to consolidate, pursuant to FASB ASC 810, as if such variable interest entity were a Subsidiary as defined in this Agreement. Notwithstanding the foregoing, each Foreign Subsidiary shall be permitted to keep its own local books and records consistent with the Requirements of Law of the jurisdiction of organization of such Foreign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All terms used in this Agreement which are defined in Article 8 or Article 9 of the Uniform Commercial Code as in effect from time to time in the State of New York (the “</w:t>
      </w:r>
      <w:r>
        <w:rPr>
          <w:rFonts w:ascii="Times New Roman" w:hAnsi="Times New Roman"/>
          <w:caps w:val="false"/>
          <w:smallCaps w:val="false"/>
          <w:sz w:val="20"/>
          <w:u w:val="single"/>
        </w:rPr>
        <w:t>Uniform Commercial Code</w:t>
      </w:r>
      <w:r>
        <w:rPr>
          <w:rFonts w:ascii="Times New Roman" w:hAnsi="Times New Roman"/>
          <w:caps w:val="false"/>
          <w:smallCaps w:val="false"/>
          <w:sz w:val="20"/>
        </w:rPr>
        <w:t>” or the “</w:t>
      </w:r>
      <w:r>
        <w:rPr>
          <w:rFonts w:ascii="Times New Roman" w:hAnsi="Times New Roman"/>
          <w:caps w:val="false"/>
          <w:smallCaps w:val="false"/>
          <w:sz w:val="20"/>
          <w:u w:val="single"/>
        </w:rPr>
        <w:t>UCC</w:t>
      </w:r>
      <w:r>
        <w:rPr>
          <w:rFonts w:ascii="Times New Roman" w:hAnsi="Times New Roman"/>
          <w:caps w:val="false"/>
          <w:smallCaps w:val="false"/>
          <w:sz w:val="20"/>
        </w:rPr>
        <w:t xml:space="preserve">”) and which are not otherwise defined herein shall have the same meanings herein as set forth therein,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terms used herein which are defined in the Uniform Commercial Code as in effect in the State of New York on the date hereof shall continue to have the same meaning notwithstanding any replacement or amendment of such statute except as any Agent may otherwise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1.05    </w:t>
      </w:r>
      <w:r>
        <w:rPr>
          <w:rFonts w:ascii="Times New Roman" w:hAnsi="Times New Roman"/>
          <w:caps w:val="false"/>
          <w:smallCaps w:val="false"/>
          <w:sz w:val="20"/>
          <w:u w:val="single"/>
        </w:rPr>
        <w:t>Time References</w:t>
      </w:r>
      <w:r>
        <w:rPr>
          <w:rFonts w:ascii="Times New Roman" w:hAnsi="Times New Roman"/>
          <w:caps w:val="false"/>
          <w:smallCaps w:val="false"/>
          <w:sz w:val="20"/>
        </w:rPr>
        <w:t xml:space="preserve">. Unless otherwise indicated herein, all references to time of day refer to Eastern Standard Time or Eastern Daylight Time, as in effect in New York City on such day. For purposes of the computation of a period of time from a specified date to a later specified date, the word “from” means “from and including” and the words “to” and “until” each means “to but excluding”;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with respect to a computation of fees or interest payable to any Secured Party, such period shall in any event consist of at least one full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1.06    </w:t>
      </w:r>
      <w:r>
        <w:rPr>
          <w:rFonts w:ascii="Times New Roman" w:hAnsi="Times New Roman"/>
          <w:caps w:val="false"/>
          <w:smallCaps w:val="false"/>
          <w:sz w:val="20"/>
          <w:u w:val="single"/>
        </w:rPr>
        <w:t>Pro Forma</w:t>
      </w:r>
      <w:r>
        <w:rPr>
          <w:rFonts w:ascii="Times New Roman" w:hAnsi="Times New Roman"/>
          <w:caps w:val="false"/>
          <w:smallCaps w:val="false"/>
          <w:sz w:val="20"/>
        </w:rPr>
        <w:t>. Notwithstanding any other provision set forth herein to the contrary, the parties hereto acknowledge and agree that, for purposes of all calculations made in determining compliance for any applicable period with the financial covenants set forth in Section 7.03(a) and Section 7.03(b) (including, without limitation, for purposes of determining pro forma compliance with such financial covenants pursuant to the requirements of any other section hereof or, if used without reference to a financial covenant), (a) with respect to any Permitted Acquisition consummated during the applicable period, (i) income statement items, cash flow statement items and other balance sheet items (whether positive or negative) attributable to the Person acquired in such transaction shall be included in such calculations (including, without limitation, the calculation of Consolidated EBITDA, in a manner consistent with the definition thereof) and such transaction shall be deemed to have occurred as of the first day of such applicable period and (ii) Indebtedness of a Person which is retired in connection with a Permitted Acquisition or other such acquisition shall be excluded from such calculations and deemed to have been retired as of the first day of such applicable period (and assuming that such Indebtedness bears interest during any portion of the applicable measurement period prior to the relevant acquisition at the interest rates applicable thereto at the date incurred, assumed or repaid), (b) with respect to any Permitted Disposition consummated during the applicable period, (i) income statement items, cash flow statement items and other balance sheet items (whether positive or negative) attributable to the property or assets disposed of shall be excluded in such calculations and such transaction shall be deemed to have occurred as of the first day of such applicable period and (ii) Indebtedness that is repaid with the proceeds of such Disposition shall be excluded from such calculations and deemed to have been repaid as of the first day of such applicable period (and assuming that such Indebtedness bears interest during any portion of the applicable measurement period prior to the relevant acquisition at the interest rates applicable thereto at the date incurred, assumed or repaid), (c) with respect to each of the calculations referred to in the foregoing clauses (a) and (b), pro forma adjustments may be included to the extent that such adjustments (i) are consistent with Regulation S-X of the Securities Act and would give effect to items that are (A) attributable to such transaction, (B) expected to have a continuing impact on the Administrative Borrower and its Subsidiaries and any synergies or run-rate are actually realized during the applicable period, (C) reasonably identifiable and factually supportable and (D) certified by an Authorized Officer of the Administrative Borrower as (in good faith determination) being in compliance with each of the foregoing, (ii) are otherwise approved by the Collateral Agent in its reasonable discretion or (iii) otherwise in accordance with the definition of Consolidated EBITDA, and (d) to the extent that any provision of this Agreement requires compliance (or pro forma compliance) with any such financial covenant with reference to a Fiscal Quarter or measurement period for which such covenant is not being tested in accordance with the terms of such Section, the required level for compliance with such provision shall be the applicable level set forth in Section 7.03(a) or Section 7.03(b), as applicable, immediately prior to the effectiveness of the Amendment No.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1.07    </w:t>
      </w:r>
      <w:r>
        <w:rPr>
          <w:rFonts w:ascii="Times New Roman" w:hAnsi="Times New Roman"/>
          <w:caps w:val="false"/>
          <w:smallCaps w:val="false"/>
          <w:sz w:val="20"/>
          <w:u w:val="single"/>
        </w:rPr>
        <w:t>Rounding</w:t>
      </w:r>
      <w:r>
        <w:rPr>
          <w:rFonts w:ascii="Times New Roman" w:hAnsi="Times New Roman"/>
          <w:caps w:val="false"/>
          <w:smallCaps w:val="false"/>
          <w:sz w:val="20"/>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1.08    </w:t>
      </w:r>
      <w:r>
        <w:rPr>
          <w:rFonts w:ascii="Times New Roman" w:hAnsi="Times New Roman"/>
          <w:caps w:val="false"/>
          <w:smallCaps w:val="false"/>
          <w:sz w:val="20"/>
          <w:u w:val="single"/>
        </w:rPr>
        <w:t>References to Laws</w:t>
      </w:r>
      <w:r>
        <w:rPr>
          <w:rFonts w:ascii="Times New Roman" w:hAnsi="Times New Roman"/>
          <w:caps w:val="false"/>
          <w:smallCaps w:val="false"/>
          <w:sz w:val="20"/>
        </w:rPr>
        <w:t>. Unless otherwise expressly provided herein, any definition or reference to any applicable law, including, without limitation, the UCC, the Commodity Exchange Act, ERISA, the PATRIOT Act, the Securities Act of 1933, the UCC, the Investment Company Act of 1940, the Trading with the Enemy Act of the United States or any of the foreign assets control regulations of the United States Treasury Department, shall include all statutory and regulatory provisions consolidating, amending, replacing, modified, supplementing or interpreting such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1.09    </w:t>
      </w:r>
      <w:r>
        <w:rPr>
          <w:rFonts w:ascii="Times New Roman" w:hAnsi="Times New Roman"/>
          <w:caps w:val="false"/>
          <w:smallCaps w:val="false"/>
          <w:sz w:val="20"/>
          <w:u w:val="single"/>
        </w:rPr>
        <w:t>Times of Day</w:t>
      </w:r>
      <w:r>
        <w:rPr>
          <w:rFonts w:ascii="Times New Roman" w:hAnsi="Times New Roman"/>
          <w:caps w:val="false"/>
          <w:smallCaps w:val="false"/>
          <w:sz w:val="20"/>
        </w:rPr>
        <w:t>. Unless otherwise specified, all references herein to times of day shall be references to Eastern time (daylight or standard,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1.10    </w:t>
      </w:r>
      <w:r>
        <w:rPr>
          <w:rFonts w:ascii="Times New Roman" w:hAnsi="Times New Roman"/>
          <w:caps w:val="false"/>
          <w:smallCaps w:val="false"/>
          <w:sz w:val="20"/>
          <w:u w:val="single"/>
        </w:rPr>
        <w:t>Performance of Obligations</w:t>
      </w:r>
      <w:r>
        <w:rPr>
          <w:rFonts w:ascii="Times New Roman" w:hAnsi="Times New Roman"/>
          <w:caps w:val="false"/>
          <w:smallCaps w:val="false"/>
          <w:sz w:val="20"/>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(a) in the case of any scheduled date of payment in respect of the Loans, be deemed to be the first Business Day preceding such scheduled payment date and (b) except as provided in the preceding clause (a) or otherwise set forth in this Agreement, extend to the immediately succeeding Business Day, and such adjustments of time shall be reflected in computing interest or fees,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1.11    </w:t>
      </w:r>
      <w:r>
        <w:rPr>
          <w:rFonts w:ascii="Times New Roman" w:hAnsi="Times New Roman"/>
          <w:caps w:val="false"/>
          <w:smallCaps w:val="false"/>
          <w:sz w:val="20"/>
          <w:u w:val="single"/>
        </w:rPr>
        <w:t>LLC Divisions</w:t>
      </w:r>
      <w:r>
        <w:rPr>
          <w:rFonts w:ascii="Times New Roman" w:hAnsi="Times New Roman"/>
          <w:caps w:val="false"/>
          <w:smallCaps w:val="false"/>
          <w:sz w:val="20"/>
        </w:rPr>
        <w:t>. For all purposes under the Loan Documents, in connection with any LLC Division: (a) if any asset, right, obligation or liability of any Person becomes the asset, right, obligation or liability of a different Person, then it shall be deemed to have been transferred from the original Person to the subsequent Person, (b) if any new Person comes into existence, such new Person shall be deemed to have been organized on the first date of its existence by the holders of its Equity Interests at such time and (c) any agreement providing for the allocation of assets and liabilities in respect of any LLC Division involving a Loan Party shall be subject to the prior written consent of the Collateral Agent unless each resulting party from such LLC Division continues to be a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1.12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1.13    </w:t>
      </w:r>
      <w:r>
        <w:rPr>
          <w:rFonts w:ascii="Times New Roman" w:hAnsi="Times New Roman"/>
          <w:caps w:val="false"/>
          <w:smallCaps w:val="false"/>
          <w:sz w:val="20"/>
          <w:u w:val="single"/>
        </w:rPr>
        <w:t>Rates</w:t>
      </w:r>
      <w:r>
        <w:rPr>
          <w:rFonts w:ascii="Times New Roman" w:hAnsi="Times New Roman"/>
          <w:caps w:val="false"/>
          <w:smallCaps w:val="false"/>
          <w:sz w:val="20"/>
        </w:rPr>
        <w:t xml:space="preserve">. Administrative Agent does not warrant or accept responsibility for, and shall not have any liability with respect to (a) the continuation of, administration of, submission of, calculation of or any other matter related to Reference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Reference Rate, the Term SOFR Reference Rate, Adjusted Term SOFR, Term SOFR or any other Benchmark prior to its discontinuance or unavailability, or (b) the effect, implementation or composition of any Conforming Changes. Administrative Agent and its affiliates or other related entities may engage in transactions that affect the calculation of Reference Rate, the Term SOFR Reference Rate, Term SOFR, Adjusted Term SOFR, any alternative, successor or replacement rate (including any Benchmark Replacement) or any relevant adjustments thereto, in each case, in a manner adverse to the Borrower; </w:t>
      </w:r>
      <w:r>
        <w:rPr>
          <w:rFonts w:ascii="Times New Roman" w:hAnsi="Times New Roman"/>
          <w:caps w:val="false"/>
          <w:smallCaps w:val="false"/>
          <w:sz w:val="20"/>
          <w:u w:val="single"/>
        </w:rPr>
        <w:t>provided</w:t>
      </w:r>
      <w:r>
        <w:rPr>
          <w:rFonts w:ascii="Times New Roman" w:hAnsi="Times New Roman"/>
          <w:caps w:val="false"/>
          <w:smallCaps w:val="false"/>
          <w:sz w:val="20"/>
        </w:rPr>
        <w:t>, that Administrative Agent will not engage in such transactions with the primary purpose of negatively impacting the Borrower. Administrative Agent may select information sources or services in its sole discretion to ascertain Reference Rate, the Term SOFR Reference Rate, Term SOFR, Adjusted Term SOFR or any other Benchmark,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br/>
        <w:br/>
      </w:r>
      <w:r>
        <w:rPr>
          <w:rFonts w:ascii="Times New Roman" w:hAnsi="Times New Roman"/>
          <w:b/>
          <w:caps w:val="false"/>
          <w:smallCaps w:val="false"/>
          <w:sz w:val="20"/>
        </w:rPr>
        <w:t>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2.01    </w:t>
      </w:r>
      <w:r>
        <w:rPr>
          <w:rFonts w:ascii="Times New Roman" w:hAnsi="Times New Roman"/>
          <w:caps w:val="false"/>
          <w:smallCaps w:val="false"/>
          <w:sz w:val="20"/>
          <w:u w:val="single"/>
        </w:rPr>
        <w:t>Commitments</w:t>
      </w:r>
      <w:r>
        <w:rPr>
          <w:rFonts w:ascii="Times New Roman" w:hAnsi="Times New Roman"/>
          <w:caps w:val="false"/>
          <w:smallCaps w:val="false"/>
          <w:sz w:val="20"/>
        </w:rPr>
        <w:t>. (a) Subject to the terms and conditions and relying upon the representations and warranties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each Revolving Loan Lender severally agrees to make Revolving Loans to the Borrowers at any time and from time to time during the term of this Agreement, in an aggregate principal amount of Revolving Loans at any time outstanding not to exceed the amount of such Lender’s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each Term Loan A Lender severally agrees to make the Term Loan A to the Borrowers on the Effective Date, in an aggregate principal amount not to exceed the amount of such Lender’s Term Loan A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each Term Loan B Lender severally agrees to make the Term Loan B to the Borrowers on the Effective Date, in an aggregate principal amount not to exceed the amount of such Lender’s Term Loan B Commitment;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each Delayed Draw Term Lender severally agrees to make Delayed Draw Term Loans to the Borrower in Dollars at any time and from time to time after the date on which the Administrative Agent receives the financial statements of the Administrative Borrower and its Subsidiaries required to be delivered pursuant to Section 7.01(a)(ii) for the Fiscal Quarter ending December 31, 2025, and until the earlier of (a) the Delayed Draw Commitment Termination Date and (b) the termination of the Delayed Draw Term Loan Commitment of such Delayed Draw Term Lender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Notwithstanding the foregoing, any principal amount of the Term Loan A, Term Loan B or Delayed Draw Term Loan which is repaid or prepaid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The aggregate principal amount of Revolving Loans outstanding at any time to the Borrowers shall not exceed the lesser of (A) the Total Revolving Credit Commitment and (B) the then current Borrowing Base. The Revolving Credit Commitment of each Lender shall automatically and permanently be reduced to zero on the Final Maturity Date. Within the foregoing limits, the Borrowers may borrow, repay and reborrow, the Revolving Loans on or after the Effective Date and prior to the Final Maturity Date, subject to the terms, provisions and limitations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The parties hereto agree that (i) the initial Term Loan and the Warrants issued on the Effective Date (not including, for the avoidance of doubt, any DDTL Warrants issued with respect to the Delayed Draw Term Loans or any Amendment No. 3 Penny Warrants) shall be treated as an “investment unit” within the meaning of Section 1273(c)(2) of the Code and the Treasury Regulations thereunder, (ii) the issue price of the investment unit will be allocated between the Term Loan A, the Term Loan B and the Warrants issued on the Effective Date based on their relative fair market values on the Effective Date for U.S. federal income tax purposes, as determined collectively by the Borrower and the Required Lenders acting in good faith and (iii) no party hereto shall take a position contrary to the foregoing on any tax return unless required by an applicable change in law after the Effective Date or the good faith resolution of a tax audit or other tax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The parties hereto agree that (i) the Delayed Draw Term Loan and the DDTL Warrants issued at the time of making the Delayed Draw Term Loans (not including, for the avoidance of doubt, the DDTL Warrants issued on the Amendment No. 2 Effective Date) shall be treated as an “investment unit” within the meaning of Section 1273(c)(2) of the Code and the Treasury Regulations thereunder, (ii) the issue price of the investment unit will be allocated between the Delayed Draw Term Loan and such DDTL Warrants based on their relative fair market values on the date such Delayed Draw Term Loan is incurred, as determined collectively by the Borrower and the Required Delayed Draw Lenders acting in good faith and (iii) no party hereto shall take a position contrary to the foregoing on any tax return unless required by an applicable change in law after the Effective Date or the good faith resolution of a tax audit or other tax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2.02    </w:t>
      </w:r>
      <w:r>
        <w:rPr>
          <w:rFonts w:ascii="Times New Roman" w:hAnsi="Times New Roman"/>
          <w:caps w:val="false"/>
          <w:smallCaps w:val="false"/>
          <w:sz w:val="20"/>
          <w:u w:val="single"/>
        </w:rPr>
        <w:t>Making the Loans</w:t>
      </w:r>
      <w:r>
        <w:rPr>
          <w:rFonts w:ascii="Times New Roman" w:hAnsi="Times New Roman"/>
          <w:caps w:val="false"/>
          <w:smallCaps w:val="false"/>
          <w:sz w:val="20"/>
        </w:rPr>
        <w:t>. (a) The Administrative Borrower shall give the Administrative Agent (with a copy to the Servicing Agent with respect to the Revolving Loans) prior written notice (in substantially the form of Exhibit C hereto or such other form approved by the Administrative Agent (and the Servicing Agent with respect to Revolving Loans) (a “</w:t>
      </w:r>
      <w:r>
        <w:rPr>
          <w:rFonts w:ascii="Times New Roman" w:hAnsi="Times New Roman"/>
          <w:caps w:val="false"/>
          <w:smallCaps w:val="false"/>
          <w:sz w:val="20"/>
          <w:u w:val="single"/>
        </w:rPr>
        <w:t>Notice of Borrowing</w:t>
      </w:r>
      <w:r>
        <w:rPr>
          <w:rFonts w:ascii="Times New Roman" w:hAnsi="Times New Roman"/>
          <w:caps w:val="false"/>
          <w:smallCaps w:val="false"/>
          <w:sz w:val="20"/>
        </w:rPr>
        <w:t>”)), not later than 12:00 noon (New York City time) (x) with respect to SOFR Loans, on the date which is 3 U.S. Government Securities Business Days prior to the date of the proposed Loan (or such shorter period as the Administrative Agent and the Revolving Loan Lenders are willing to accommodate from time to time, but in no event later than 12:00 noon (New York City time) on the borrowing date of the proposed Loan), (y) with respect to Reference Rate Loans in an aggregate amount less than $5,000,000, on the date of the proposed Loan, and (z) with respect to Reference Rate Loans in an aggregate amount equal to or in excess of $5,000,000, 1 U.S. Government Securities Business Day prior to the date of the proposed Loan. Such Notice of Borrowing shall specify (i) the principal amount of the proposed Loan, (ii) whether the Loan is requested to be a Reference Rate Loan or a SOFR Loan and, in the case of a SOFR Loan, the initial Interest Period with respect thereto, (iii) the proposed borrowing date, which in the case of the Term Loans must be the Effective Date, and (iv) the Borrower’s wire instruction for the remittance of funds. The Administrative Agent, the Servicing Agent and the Lenders may act without liability upon the basis of written notice believed by the Administrative Agent or the Servicing Agent, as applicable, in good faith to be from the Administrative Borrower (or from any Authorized Officer thereof designated in writing purportedly from the Administrative Borrower to the Administrative Agent and, if applicable, the Servicing Agent). The Administrative Agent, the Servicing Agent and each Lender shall be entitled to rely conclusively on any Authorized Officer’s authority to request a Loan on behalf of the Borrowers in accordance with the terms herein until the Administrative Agent (and the Servicing Agent, with respect to Revolving Loans) receives written notice to the contrary. The Administrative Agent, the Servicing Agent and the Lenders shall have no duty to verify the authenticity of the signature appearing on any written Notice of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Notice of Borrowing pursuant to this Section 2.02 shall be irrevocable and the Borrowers shall be bound to make a borrowing in accordance therewith. Each Revolving Loan shall be made in a minimum amount of $1,000,000 and shall be in an integral multiple of $100,000. Each Delayed Draw Term Loan shall be made in a minimum amount of $500,000 and shall be in an integral multiple of $500,000. Promptly following receipt of a Notice of Borrowing in accordance with this Section 2.02, the Administrative Agent shall advise each applicable Lender of the details thereof and of the amount of such Lender’s obligation to make a Loan pursuant to such Notice of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Except as otherwise provided in this Section 2.02(b), all Loans under this Agreement shall be made by the Lenders simultaneously and proportionately to their Pro Rata Shares of the Total Revolving Credit Commitment, Total Term Loan A Commitment, Total Term Loan B Commitment or Delayed Draw Term Loan Commitment, as the case may be, it being understood that no Lender shall be responsible for any default by any other Lender in that other Lender’s obligations to make a Loan requested hereunder, nor shall the Commitment of any Lender be increased or decreased as a result of the default by any other Lender in that other Lender’s obligation to make a Loan requested hereunder, and each Lender shall be obligated to make the Loans required to be made by it by the terms of this Agreement regardless of the failure by any other Lender. Each Lender shall make each Loan to be made hereunder on the proposed date thereof by wire transfer of immediately available funds by 2:00 p.m. (New York City time) to the Payment Office. Upon receipt of all funds, the Administrative Agent shall make such Loans available to the Borrowers by wire transferring the amounts so received, in like funds, as directed by the Borrowers in the applicable Notice of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Notwithstanding any other provision of this Agreement, and in order to reduce the number of fund transfers among the Borrowers, the Agents and the Lenders, the Borrowers, the Agents and the Lenders agree that the Administrative Agent may (but shall not be obligated to), and the Borrowers and the Lenders hereby irrevocably authorize the Administrative Agent to, fund, on behalf of the Revolving Loan Lenders, Revolving Loans pursuant to Section 2.01, subject to the procedures for settlement set forth in Section 2.02(c);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(A) the Administrative Agent shall in no event fund any such Revolving Loans if the Administrative Agent shall have received written notice from the Collateral Agent or the Required Revolving Lenders prior to the making of the proposed Revolving Loan that one or more of the conditions precedent contained in Section 5.03 will not be satisfied at the time of the proposed Revolving Loan, and (B) the Administrative Agent shall not otherwise be required to determine that, or take notice whether, the conditions precedent in Section 5.03 have been satisfied. If the Administrative Borrower gives a Notice of Borrowing requesting a Revolving Loan and the Administrative Agent elects not to fund such Revolving Loan on behalf of the Revolving Loan Lenders, then promptly after receipt of the Notice of Borrowing requesting such Revolving Loan, the Administrative Agent shall notify each Revolving Loan Lender of the specifics of the requested Revolving Loan and that it will not fund the requested Revolving Loan on behalf of the Revolving Loan Lenders. If the Administrative Agent notifies the Revolving Loan Lenders that it will not fund a requested Revolving Loan on behalf of the Revolving Loan Lenders, each Revolving Loan Lender shall make its Pro Rata Share of the Revolving Loan available to the Administrative Agent, in immediately available funds, in the Administrative Agent’s Accounts no later than 3:00 p.m. (New York City time)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Administrative Agent requests payment from such Revolving Loan Lender not later than 1:00 p.m. (New York City time)) on the date of the proposed Revolving Loan. The Administrative Agent will make the proceeds of such Revolving Loans available to the Borrowers on the day of the proposed Revolving Loan by causing an amount, in immediately available funds, equal to the proceeds of all such Revolving Loans received by the Administrative Agent in the Administrative Agent’s Accounts or the amount funded by the Administrative Agent on behalf of the Revolving Loan Lenders to be deposited in an account designated by the Administrative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If the Administrative Agent has notified the Revolving Loan Lenders that the Administrative Agent, on behalf of the Revolving Loan Lenders, will not fund a particular Revolving Loan pursuant to Section 2.02(b)(ii), the Administrative Agent may assume that each such Revolving Loan Lender has made such amount available to the Administrative Agent on such day and the Administrative Agent, in its sole discretion, may, but shall not be obligated to, cause a corresponding amount to be made available to the Borrowers on such day. If the Administrative Agent makes such corresponding amount available to the Borrowers and such corresponding amount is not in fact made available to the Servicing Agent by any such Revolving Loan Lender, the Administrative Agent shall be entitled to recover such corresponding amount on demand from such Revolving Loan Lender together with interest thereon, for each day from the date such payment was due until the date such amount is paid to the Administrative Agent, at the Federal Funds Rate for 3 Business Days and thereafter at the Reference Rate. During the period in which such Revolving Loan Lender has not paid such corresponding amount to the Administrative Agent, notwithstanding anything to the contrary contained in this Agreement or any other Loan Document, the amount so advanced by the Administrative Agent to the Borrowers shall, for all purposes hereof, be a Revolving Loan made by the Administrative Agent for its own account. Upon any such failure by a Revolving Loan Lender to pay the Administrative Agent, the Administrative Agent shall promptly thereafter notify the Administrative Borrower of such failure and the Borrowers shall promptly, but in any event within one Business Day, pay such corresponding amount to the Administrative Agent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Nothing in this Section 2.02(b) shall be deemed to relieve any Revolving Loan Lender from its obligations to fulfill its Revolving Credit Commitment hereunder or to prejudice any rights that the Administrative Agent or the Borrowers may have against any Revolving Loan Lender as a result of any default by such Revolving Loan Lender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(i)With respect to all periods for which the Administrative Agent has funded Revolving Loans pursuant to Section 2.02(b), on the last Business Day of each week during which the Administrative Agent has funded such Revolving Loans, or such shorter period as the Administrative Agent may from time to time select (any such week or shorter period being herein called a “</w:t>
      </w:r>
      <w:r>
        <w:rPr>
          <w:rFonts w:ascii="Times New Roman" w:hAnsi="Times New Roman"/>
          <w:caps w:val="false"/>
          <w:smallCaps w:val="false"/>
          <w:sz w:val="20"/>
          <w:u w:val="single"/>
        </w:rPr>
        <w:t>Settlement Period</w:t>
      </w:r>
      <w:r>
        <w:rPr>
          <w:rFonts w:ascii="Times New Roman" w:hAnsi="Times New Roman"/>
          <w:caps w:val="false"/>
          <w:smallCaps w:val="false"/>
          <w:sz w:val="20"/>
        </w:rPr>
        <w:t>”), the Administrative Agent shall notify each Revolving Loan Lender of the unpaid principal amount of the Revolving Loans outstanding as of the last day of each such Settlement Period. In the event that such amount is greater than the unpaid principal amount of the Revolving Loans outstanding on the last day of the Settlement Period immediately preceding such Settlement Period (or, if there has been no preceding Settlement Period, the amount of the Revolving Loans made on the date of such Revolving Loan Lender’s initial funding), each Revolving Loan Lender shall promptly (and in any event not later than 2:00 p.m. (New York City time) if the Administrative Agent requests payment from such Lender not later than 12:00 noon (New York City time) on such day) make available to the Administrative Agent its Pro Rata Share of the difference in immediately available funds. In the event that such amount is less than such unpaid principal amount, the Administrative Agent shall promptly pay over to each Revolving Loan Lender its Pro Rata Share of the difference in immediately available funds. In addition, if the Administrative Agent shall so request at any time when a Default or an Event of Default shall have occurred and be continuing, or any other event shall have occurred as a result of which the Administrative Agent shall determine that it is desirable to present claims against the Borrowers for repayment, each Revolving Loan Lender shall promptly remit to the Administrative Agent or, as the case may be, the Administrative Agent shall promptly remit to each Revolving Loan Lender, sufficient funds to adjust the interests of the Revolving Loan Lenders in the then outstanding Revolving Loans to such an extent that, after giving effect to such adjustment, each such Revolving Loan Lender’s interest in the then outstanding Revolving Loans will be equal to its Pro Rata Share thereof. The obligations of the Administrative Agent and each Revolving Loan Lender under this Section 2.02(c) shall be absolute and unconditional. Each Revolving Loan Lender shall only be entitled to receive interest on its Pro Rata Share of the Revolving Loans which have been funded by such Revolving Loan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In the event that any Revolving Loan Lender fails to make any payment required to be made by it pursuant to Section 2.02(c)(i), the Administrative Agent shall be entitled to recover such corresponding amount on demand from such Revolving Loan Lender together with interest thereon, for each day from the date such payment was due until the date such amount is paid to the Administrative Agent, at the Federal Funds Rate for 3 Business Days and thereafter at the Reference Rate. During the period in which such Revolving Loan Lender has not paid such corresponding amount to the Administrative Agent, notwithstanding anything to the contrary contained in this Agreement or any other Loan Document, the amount so advanced by the Administrative Agent to the Borrowers shall, for all purposes hereof, be a Revolving Loan made by the Administrative Agent for its own account. Upon any such failure by a Revolving Loan Lender to pay the Administrative Agent, the Administrative Agent shall promptly thereafter notify the Administrative Borrower of such failure and the Borrowers shall promptly, but in any event within one Business Day, pay such corresponding amount to the Administrative Agent for its own account. Nothing in this Section 2.02(c)(ii) shall be deemed to relieve any Revolving Loan Lender from its obligation to fulfill its Revolving Credit Commitment hereunder or to prejudice any rights that the Administrative Agent or the Borrowers may have against any Revolving Loan Lender as a result of any default by such Revolving Loan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2.03    </w:t>
      </w:r>
      <w:r>
        <w:rPr>
          <w:rFonts w:ascii="Times New Roman" w:hAnsi="Times New Roman"/>
          <w:caps w:val="false"/>
          <w:smallCaps w:val="false"/>
          <w:sz w:val="20"/>
          <w:u w:val="single"/>
        </w:rPr>
        <w:t>Repayment of Loans; Evidence of Debt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outstanding principal of all Revolving Loans shall be due and payable on the Final Maturity Date or, if earlier, on the date on which they are declared due and payable pursuant to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 The outstanding principal amount of the Term Loan A shall be repayable on the following dates and in the following amounts (in the aggregate and applied on a ratable basis to each Term Loan A Lender) set forth opposite such dates:</w:t>
      </w:r>
    </w:p>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7" w:type="dxa"/>
        <w:tblLayout w:type="fixed"/>
        <w:tblCellMar>
          <w:top w:w="28" w:type="dxa"/>
          <w:left w:w="28" w:type="dxa"/>
          <w:bottom w:w="28" w:type="dxa"/>
          <w:right w:w="28" w:type="dxa"/>
        </w:tblCellMar>
      </w:tblPr>
      <w:tblGrid>
        <w:gridCol w:w="5780"/>
        <w:gridCol w:w="1205"/>
      </w:tblGrid>
      <w:tr>
        <w:trPr/>
        <w:tc>
          <w:tcPr>
            <w:tcW w:w="57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c>
          <w:tcPr>
            <w:tcW w:w="120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r>
      <w:tr>
        <w:trPr/>
        <w:tc>
          <w:tcPr>
            <w:tcW w:w="57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2026 and on the last day of each Fiscal Quarter thereafter</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$1,675,000.00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(ii) The outstanding principal amount of the Term Loan B shall be repayable on the following dates and in the following amounts (in the aggregate and applied on a ratable basis to each Term Loan B Lender) set forth opposite such dates:</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9150"/>
        <w:gridCol w:w="1055"/>
      </w:tblGrid>
      <w:tr>
        <w:trPr/>
        <w:tc>
          <w:tcPr>
            <w:tcW w:w="915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c>
          <w:tcPr>
            <w:tcW w:w="105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r>
      <w:tr>
        <w:trPr/>
        <w:tc>
          <w:tcPr>
            <w:tcW w:w="91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2026 and on the last day of each Fiscal Quarter thereafter until the Term Loan A has been repaid in full in cash (expected to be September 30, 2028)</w:t>
            </w:r>
          </w:p>
        </w:tc>
        <w:tc>
          <w:tcPr>
            <w:tcW w:w="10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w:t>
            </w:r>
          </w:p>
        </w:tc>
      </w:tr>
      <w:tr>
        <w:trPr/>
        <w:tc>
          <w:tcPr>
            <w:tcW w:w="91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first Fiscal Quarter ending after the Term Loan A has been repaid in full in cash (expected to be December 31, 2028), and on the last day of each Fiscal Quarter thereafter</w:t>
            </w:r>
          </w:p>
        </w:tc>
        <w:tc>
          <w:tcPr>
            <w:tcW w:w="10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$302,000.00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(iii) The Borrower hereby unconditionally agrees to repay the outstanding principal amount of the Delayed Draw Term Loans to the Administrative Agent for the account of each applicable Term Lender on the last day of each Fiscal Quarter, commencing with the first Fiscal Quarter ending after the Term Loan A has been repaid in full in cash (expected to be December 31, 2028), in each case in an amount equal to 0.25% of the sum of the initial aggregate principal amounts of each Delayed Draw Term Loan funded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if any such day shall not fall on a Business Day, such installment shall be paid on the preceding Business Day. The outstanding unpaid principal amount of Term Loan A, Term Loan B, and Delayed Draw Term Loan, and all accrued and unpaid interest thereon, shall be due and payable on the earliest of (i) the termination of the Total Revolving Credit Commitment, (ii) the Final Maturity Date and (iii) the date on which the Term Loan is declared due and payable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The Administrative Agent shall maintain accounts in which it shall record (i) the amount of each Loan made hereunder,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Absent manifest error, the entries made in the accounts maintained pursuant to Section 2.03(c) or Section 2.03(d) shall be </w:t>
      </w:r>
      <w:r>
        <w:rPr>
          <w:rFonts w:ascii="Times New Roman" w:hAnsi="Times New Roman"/>
          <w:caps w:val="false"/>
          <w:smallCaps w:val="false"/>
          <w:sz w:val="20"/>
          <w:u w:val="single"/>
        </w:rPr>
        <w:t>prima facie</w:t>
      </w:r>
      <w:r>
        <w:rPr>
          <w:rFonts w:ascii="Times New Roman" w:hAnsi="Times New Roman"/>
          <w:caps w:val="false"/>
          <w:smallCaps w:val="false"/>
          <w:sz w:val="20"/>
        </w:rPr>
        <w:t xml:space="preserve"> evidence of the existence and amounts of the obligations recorded therein;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the failure of any Lender or the Administrative Agent to maintain such accounts or any error therein shall not in any manner affect the obligation of the Borrowers to repay the Loans in accordance with the terms of this Agreement and (ii) in the event of any conflict between the entries made in the accounts maintained pursuant to Section 2.03(c) and the accounts maintained pursuant to Section 2.03(d), the accounts maintained pursuant to Section 2.03(d) shall govern and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Any Lender may request that Loans made by it be evidenced by a promissory note. In such event, the Borrowers shall promptly execute and deliver to such Lender a promissory note payable to the order of such Lender (or, if requested by such Lender, to such Lender and its registered assigns) substantially in the form of </w:t>
      </w:r>
      <w:r>
        <w:rPr>
          <w:rFonts w:ascii="Times New Roman" w:hAnsi="Times New Roman"/>
          <w:caps w:val="false"/>
          <w:smallCaps w:val="false"/>
          <w:sz w:val="20"/>
          <w:u w:val="single"/>
        </w:rPr>
        <w:t>Exhibit F</w:t>
      </w:r>
      <w:r>
        <w:rPr>
          <w:rFonts w:ascii="Times New Roman" w:hAnsi="Times New Roman"/>
          <w:caps w:val="false"/>
          <w:smallCaps w:val="false"/>
          <w:sz w:val="20"/>
        </w:rPr>
        <w:t xml:space="preserve"> hereto. Thereafter, the Loans evidenced by such promissory note and interest thereon shall at all times (including after assignment pursuant to Section 12.07) be represented by one or more promissory notes in such form payable to the order of the payee named therein (or, if such promissory note is a registered note, to such payee and its registered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2.04    </w:t>
      </w:r>
      <w:r>
        <w:rPr>
          <w:rFonts w:ascii="Times New Roman" w:hAnsi="Times New Roman"/>
          <w:caps w:val="false"/>
          <w:smallCaps w:val="false"/>
          <w:sz w:val="20"/>
          <w:u w:val="single"/>
        </w:rPr>
        <w:t>Interest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Revolving Loans</w:t>
      </w:r>
      <w:r>
        <w:rPr>
          <w:rFonts w:ascii="Times New Roman" w:hAnsi="Times New Roman"/>
          <w:caps w:val="false"/>
          <w:smallCaps w:val="false"/>
          <w:sz w:val="20"/>
        </w:rPr>
        <w:t>. Subject to the terms of this Agreement, at the option of the Administrative Borrower, each Revolving Loan shall be either a Reference Rate Loan or a SOFR Loan. Each Revolving Loan that is a Reference Rate Loan shall bear interest on the principal amount thereof from time to time outstanding, from the date of such Loan until repaid, at a rate per annum equal to the Reference Rate plus the Applicable Margin. Each Revolving Loan that is a SOFR Loan shall bear interest on the principal amount thereof from time to time outstanding, from the date of such Loan until repaid, at a rate per annum equal to the Adjusted Term SOFR rate for the Interest Period in effect for such Loan plus the Applicable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Term Loan</w:t>
      </w:r>
      <w:r>
        <w:rPr>
          <w:rFonts w:ascii="Times New Roman" w:hAnsi="Times New Roman"/>
          <w:caps w:val="false"/>
          <w:smallCaps w:val="false"/>
          <w:sz w:val="20"/>
        </w:rPr>
        <w:t>. Subject to the terms of this Agreement, at the option of the Administrative Borrower, the Term Loan (including, without limitation, the Term Loan PIK Amount related thereto with respect to the Term Loan, and any Revolving PIK Amount) or any portion thereof shall be either a Reference Rate Loan or a SOFR Loan. Each portion of the Term Loan that is a Reference Rate Loan shall bear interest on the principal amount thereof from time to time outstanding, from the date of the Term Loan until repaid, at a rate per annum equal to the Reference Rate plus the Applicable Margin, and each portion of the Term Loan that is a SOFR Loan shall bear interest on the principal amount thereof from time to time outstanding, from the date of the Term Loan until repaid, at a rate per annum equal to the Adjusted Term SOFR rate for the Interest Period in effect for the Term Loan (or such portion thereof) plus the Applicable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Default Interest</w:t>
      </w:r>
      <w:r>
        <w:rPr>
          <w:rFonts w:ascii="Times New Roman" w:hAnsi="Times New Roman"/>
          <w:caps w:val="false"/>
          <w:smallCaps w:val="false"/>
          <w:sz w:val="20"/>
        </w:rPr>
        <w:t>. To the extent permitted by law and notwithstanding anything to the contrary in this Section, upon the occurrence and during the continuance of an Event of Default, at the election of the Required Lenders (which election shall not be required in connection with any Event of Default arising with respect to a Loan Party under Section 9.01(f) or (g), in which case, the Post-Default Rate shall automatically and immediately be in effect), the principal (including the Term Loan PIK Amount and the Revolving PIK Amount) of, and all accrued and unpaid interest on, all Loans, fees, indemnities or any other Obligations of the Loan Parties under this Agreement and the other Loan Documents, shall bear interest, from the date such Event of Default occurred until the date such Event of Default is waived in writing in accordance with the terms of this Agreement, at a rate per annum equal at all times to the Post-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Interest Payment</w:t>
      </w:r>
      <w:r>
        <w:rPr>
          <w:rFonts w:ascii="Times New Roman" w:hAnsi="Times New Roman"/>
          <w:caps w:val="false"/>
          <w:smallCaps w:val="false"/>
          <w:sz w:val="20"/>
        </w:rPr>
        <w:t xml:space="preserve">. Interest (other than the Term Loan PIK Amount and the Revolving PIK Amount, which in each case shall be capitalized in accordance with the proviso below) on each Loan shall be payable (i) in cash, in arrears on each Interest Payment Date, and (ii) at maturity (whether upon demand, by acceleration or otherwise);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event that the Administrative Borrower shall have delivered a PIK Notice to the Administrative Agent electing to pay a portion of the interest in kind (such election, a “</w:t>
      </w:r>
      <w:r>
        <w:rPr>
          <w:rFonts w:ascii="Times New Roman" w:hAnsi="Times New Roman"/>
          <w:caps w:val="false"/>
          <w:smallCaps w:val="false"/>
          <w:sz w:val="20"/>
          <w:u w:val="single"/>
        </w:rPr>
        <w:t>PIK Election</w:t>
      </w:r>
      <w:r>
        <w:rPr>
          <w:rFonts w:ascii="Times New Roman" w:hAnsi="Times New Roman"/>
          <w:caps w:val="false"/>
          <w:smallCaps w:val="false"/>
          <w:sz w:val="20"/>
        </w:rPr>
        <w:t xml:space="preserve">”), then a portion of the interest accruing on any Term Loan or Revolving Loan, as applicable, at a rate per annum equal to the Applicable PIK Amount shall be paid by capitalizing such interest and adding such capitalized interest to the then outstanding principal amount of the applicable Term Loan, in accordance with the provisions of the Agreement Among Lenders. Any interest to be so capitalized pursuant to this clause (d) shall be capitalized on the applicable interest payment date, shall be added to the then outstanding principal amount of the Term Loan in accordance with the provisions of the Agreement Among Lenders, and shall bear interest as provided hereunder as if it had originally been part of the outstanding principal of the Term Loan;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anything to the contrary herein, no portion of the Revolving PIK Amount shall be deemed to reduce the availability of the Revolving Credit Commitment or deemed to be a utilization thereof. In the event that the Administrative Borrower elects to exercise the PIK Election, it shall deliver a PIK Notice to the Administrative Agent no later than three (3) Business Days prior to the applicable Interest Payment Date specifying the Applicable PIK Amount that the Administrative Borrower is electing (such notice, a “</w:t>
      </w:r>
      <w:r>
        <w:rPr>
          <w:rFonts w:ascii="Times New Roman" w:hAnsi="Times New Roman"/>
          <w:caps w:val="false"/>
          <w:smallCaps w:val="false"/>
          <w:sz w:val="20"/>
          <w:u w:val="single"/>
        </w:rPr>
        <w:t>PIK Notice</w:t>
      </w:r>
      <w:r>
        <w:rPr>
          <w:rFonts w:ascii="Times New Roman" w:hAnsi="Times New Roman"/>
          <w:caps w:val="false"/>
          <w:smallCaps w:val="false"/>
          <w:sz w:val="20"/>
        </w:rPr>
        <w:t>”). Interest at the Post-Default Rate shall be payable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General</w:t>
      </w:r>
      <w:r>
        <w:rPr>
          <w:rFonts w:ascii="Times New Roman" w:hAnsi="Times New Roman"/>
          <w:caps w:val="false"/>
          <w:smallCaps w:val="false"/>
          <w:sz w:val="20"/>
        </w:rPr>
        <w:t>. All interest shall be computed on the basis of a year of 360 days for the actual number of days, including the first day but excluding the last day, elapsed.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At the election of the Administrative Agent or the Required Lenders, when any Event of Default has occurred and is continuing, each SOFR Loan shall be converted to a Reference Rate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In connection with the use or administration of Term SOFR,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Administrative Agent will promptly notify the Borrowers and the Lenders of the effectiveness of any Conforming Changes in connection with the use or administration of Term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By entering into this Agreement, the parties hereto have assumed in bona fide that any fees or interest payable under this Agreement or any other Loan Document is not and will not become subject to any tax deduction on account of Swiss Withholding Tax. Nevertheless, if a tax deduction is required by Swiss law to be made by a Loan Party in respect of any fee or interest payable by it hereunder or any other Loan Document and should it be unlawful for such Loan Party to comply with Section 2.09(a) or Section 2.09(c) for any reason (where this would otherwise be required by the terms of Section 2.09(a) or Section 2.09(c)) then: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applicable interest rate in relation to that interest or fee payment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the interest rate which would have applied to that interest or fee payment (as provided for in this Section 2.04 in the absence of this Section 2.04(h), </w:t>
      </w:r>
      <w:r>
        <w:rPr>
          <w:rFonts w:ascii="Times New Roman" w:hAnsi="Times New Roman"/>
          <w:i/>
          <w:caps w:val="false"/>
          <w:smallCaps w:val="false"/>
          <w:sz w:val="20"/>
        </w:rPr>
        <w:t>divided</w:t>
      </w:r>
      <w:r>
        <w:rPr>
          <w:rFonts w:ascii="Times New Roman" w:hAnsi="Times New Roman"/>
          <w:caps w:val="false"/>
          <w:smallCaps w:val="false"/>
          <w:sz w:val="20"/>
        </w:rPr>
        <w:t xml:space="preserve">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one (1) </w:t>
      </w:r>
      <w:r>
        <w:rPr>
          <w:rFonts w:ascii="Times New Roman" w:hAnsi="Times New Roman"/>
          <w:i/>
          <w:caps w:val="false"/>
          <w:smallCaps w:val="false"/>
          <w:sz w:val="20"/>
        </w:rPr>
        <w:t>minus</w:t>
      </w:r>
      <w:r>
        <w:rPr>
          <w:rFonts w:ascii="Times New Roman" w:hAnsi="Times New Roman"/>
          <w:caps w:val="false"/>
          <w:smallCaps w:val="false"/>
          <w:sz w:val="20"/>
        </w:rPr>
        <w:t xml:space="preserve"> the rate at which the relevant tax deduction is required to be made (where the rate at which the relevant tax deduction is required to be made is for this purpose expressed as a fraction of one rather than as a percentage);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relevant Loan Party shall be required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pay the relevant fee or interest at the adjusted rate in accordance with paragraph (i)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(B)    make the tax deduction on the interest as so recalculated;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(C)    all references to a rate of interest in this Section 2.04 or otherwise in this Agreement shall be construed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that any fee or interest payable by a Loan Party under this Agreement or any other Loan Document becomes subject to Swiss Withholding Tax, each relevant Recipient and the relevant Loan Party shall cooperate by completing any procedural formalities (including submitting forms and documents required by the appropriate tax authority) to the extent possible and necessary for that Loan Party to obtain authorization to make interest or fee payments without them being subject to Swiss Withholding Tax or to being subject to Swiss Withholding Tax at a rate reduced under applicable double taxation treaties.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2.05    </w:t>
      </w:r>
      <w:r>
        <w:rPr>
          <w:rFonts w:ascii="Times New Roman" w:hAnsi="Times New Roman"/>
          <w:caps w:val="false"/>
          <w:smallCaps w:val="false"/>
          <w:sz w:val="20"/>
          <w:u w:val="single"/>
        </w:rPr>
        <w:t>Reduction of Commitment; Prepayment of Loans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Reduction of Commitments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Revolving Credit Commitments</w:t>
      </w:r>
      <w:r>
        <w:rPr>
          <w:rFonts w:ascii="Times New Roman" w:hAnsi="Times New Roman"/>
          <w:caps w:val="false"/>
          <w:smallCaps w:val="false"/>
          <w:sz w:val="20"/>
        </w:rPr>
        <w:t>. The Total Revolving Credit Commitment shall terminate on the Final Maturity Date. The Borrowers may reduce the Total Revolving Credit Commitment in whole (solely to the extent the Obligations in respect of the Term Loan A are repaid in full contemporaneously therewith) or in part to an amount not less than the greater of (1) $15,000,000 and (2) the sum of (A) the aggregate unpaid principal amount of all Revolving Loans then outstanding, and (B) the aggregate principal amount of all Revolving Loans not yet made as to which a Notice of Borrowing has been given by the Administrative Borrower under Section 2.02. Each such reduction shall be (1) in an amount which is an integral multiple of $1,000,000 (or, as applicable, by the full amount of the Total Revolving Credit Commitment in effect immediately prior to such reduction if such amount at that time is less than $1,000,000), (2) made by providing not less than 5 Business Days’ prior written notice to the Administrative Agent and the Servicing Agent, (3) irrevocable and (4) accompanied by the payment of the Applicable Premium, if any, payable in connection with such reduction of the Total Revolving Credit Commitment. Once reduced, the Total Revolving Credit Commitment may not be increased. Each such reduction of the Total Revolving Credit Commitment shall reduce the Revolving Credit Commitment of each Lender proportionately in accordance with its Pro Rata Share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Term Loan</w:t>
      </w:r>
      <w:r>
        <w:rPr>
          <w:rFonts w:ascii="Times New Roman" w:hAnsi="Times New Roman"/>
          <w:caps w:val="false"/>
          <w:smallCaps w:val="false"/>
          <w:sz w:val="20"/>
        </w:rPr>
        <w:t>. The (x) Term Loan A Commitment shall terminate at 5:00 p.m. (New York City time) on the Effective Date (or, if earlier, at the time of funding of the Term Loan A on the Effective Date), (y) Term Loan B Commitment shall terminate at 5:00 p.m. (New York City time) on the Effective Date (or, if earlier, at the time of funding of the Term Loan B on the Effective Date) and (z) the Delayed Draw Term Loan Commitments shall automatically terminate (1) upon the making of the Delayed Draw Term Loan, but solely to the extent of such advanced Delayed Draw Term Loan and (2) with respect to the remainder (if any), on the Delayed Draw Commitment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Upon delivering the notice required by Section 2.05(a)(iv), the Borrower may at any time terminate or from time to time reduce the Delayed Draw Term Loan Commitments;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each reduction of the Delayed Draw Term Loan Commitments shall be in an amount that is an integral multiple of $1,000,000 and not less than $1,000,000.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(iv)    The Borrower shall notify the Administrative Agent of any election to terminate or reduce the Delayed Draw Term Loan Commitments under paragraph (a)(iii) of this Section (as selected by the Borrower) not later than 1:00 p.m. on or prior to the effective date of such termination or reduction (or not later than 1:00 p.m., three Business Days prior to the effective date of such termination or reduction, in the case of a termination or reduction involving a prepayment of SOFR Loans (or such later date to which the Administrative Agent may agree)), specifying such election and the effective date thereof. Promptly following receipt of any such notice, the Administrative Agent shall advise the Delayed Draw Term Lenders of the contents thereof. Each notice delivered by the Borrower pursuant to this Section shall be irrevocable;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notice may state that such notice is conditioned upon the effectiveness of other transactions, in which case such notice may be revoked or its effectiveness deferred by the Borrower (by notice to the Administrative Agent on or prior to the specified effective date) if such condition is not satisfied. Any termination or reduction of any Delayed Draw Term Loan Commitment pursuant to this Section 2.05(a) shall be permanent. Upon any reduction of any Delayed Draw Term Loan Commitment, the Delayed Draw Term Loan Commitment of each Delayed Draw Term Lender shall be reduced by such Delayed Draw Term Lender’s Pro Rata Share of such reduction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Optional Prepayment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Revolving Loans</w:t>
      </w:r>
      <w:r>
        <w:rPr>
          <w:rFonts w:ascii="Times New Roman" w:hAnsi="Times New Roman"/>
          <w:caps w:val="false"/>
          <w:smallCaps w:val="false"/>
          <w:sz w:val="20"/>
        </w:rPr>
        <w:t>. The Borrowers may, at any time and from time to time, upon at least two Business Days prior written notice before 12:00 p.m. (New York City time) to the Administrative Agent (or such shorter period as agreed by the Administrative Agent in its sole discretion) (with a copy of such notice to the Servicing Agent), prepay the principal of any Revolving Loan, in whole or in part. Each prepayment made pursuant to this Section 2.05(b)(i) in connection with a reduction of the Total Revolving Credit Commitment pursuant to Section 2.05(a)(i) above shall be accompanied by the payment of the Applicable Premium, if any, payable in connection with such reduction of the Total Revolving Credit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Term Loan</w:t>
      </w:r>
      <w:r>
        <w:rPr>
          <w:rFonts w:ascii="Times New Roman" w:hAnsi="Times New Roman"/>
          <w:caps w:val="false"/>
          <w:smallCaps w:val="false"/>
          <w:sz w:val="20"/>
        </w:rPr>
        <w:t>. The Borrowers may, at any time and from time to time, upon at least five Business Days prior written notice to the Administrative Agent and the Servicing Agent (or such shorter period as agreed by the Administrative Agent in its sole discretion), prepay the principal of the Term Loan, in whole or in part. Each prepayment made pursuant to this Section 2.05(b)(ii) shall be accompanied by the payment of (A) accrued interest to the date of such payment on the amount prepaid, (B) the Applicable Premium, if any, payable in connection with such prepayment of the Term Loan and (C) the Supplemental Premium, if any, payable in connection with such prepayment of the Term Loan. Each such prepayment shall be applied against the remaining installments of principal due on the Term Loan (including the final installment of principal due on the Term Loan on the Maturity Date), ratably to the Term Loan A, Term Loan B, and Delayed Draw Term Loan, until Paid in Full. Any such notice provided under this section may be conditioned upon the occurrence of an event or refinancing, in which case, such notice may be rescinded by the Borrower in writing if such event or refinancing does not occur prior to the date of prepayment in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Termination of Agreement</w:t>
      </w:r>
      <w:r>
        <w:rPr>
          <w:rFonts w:ascii="Times New Roman" w:hAnsi="Times New Roman"/>
          <w:caps w:val="false"/>
          <w:smallCaps w:val="false"/>
          <w:sz w:val="20"/>
        </w:rPr>
        <w:t xml:space="preserve">. The Borrowers may, upon at least 10 Business Days prior written notice to the Administrative Agent and the Servicing Agent, terminate this Agreement by paying to the Administrative Agent, in cash, the Obligations in full, plus (x) the Applicable Premium, if any, payable in connection with such termination of this Agreement and (y) the Supplemental Premium, if any, payable in connection with such prepayment of the Term Loan;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notice of termination under this Section 2.05(b) may state that such notice is conditional upon the effectiveness of other credit facilities, the receipt of proceeds from the issuance of other Indebtedness or equity or consummation of an asset sale or occurrence of any other event in which case such notice of termination may be postponed or rescinded by the Borrowers in writing if any such condition is not satisfied prior to the date of termination of this Agreement in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Mandatory Prepayment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Within 5 Business Days of the delivery to the Agents and the Lenders of audited annual financial statements pursuant to Section 7.01(a)(iii), commencing with the delivery to the Agents and the Lenders of the financial statements for the Fiscal Year ended June 30, 2026 or, if such financial statements are not delivered to the Agents and the Lenders on the date such statements are required to be delivered pursuant to Section 7.01(a)(iii), within 5 Business Days after the date such statements are required to be delivered to the Agents and the Lenders pursuant to Section 7.01(a)(iii), the Borrowers shall prepay the outstanding principal amount of the Term Loan A, Term Loan B and Delayed Draw Term Loan in accordance with Section 2.05(d) in an amount equal to the result of (to the extent positive) (1) (x) if the Total Leverage Ratio of the Administrative Borrower and its Subsidiaries for the applicable Fiscal Year is greater than 4.00 to 1.00, 50% of the Excess Cash Flow of the Administrative Borrower and its Subsidiaries for such Fiscal Year and (y) if the Total Leverage Ratio of the Administrative Borrower and its Subsidiaries for the applicable Fiscal Year is less than or equal to 4.00 to 1.00, 25% of the Excess Cash Flow of the Administrative Borrower and its Subsidiaries for such Fiscal Year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(2) the aggregate principal amount of all payments made by the Borrowers pursuant to Sections 2.05(b)(i) (to the extent that the Total Revolving Credit Commitment is permanently reduced by the amount of such payments) and Section 2.05(b)(ii) for such Fiscal Year or after such Fiscal Year but prior to such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Within 5 Business Days of the receipt by any Loan Party or any of its Subsidiaries of the Net Cash Proceeds from any Disposition (excluding Dispositions which qualify as Permitted Dispositions under clauses (a), (b), (c), (d), (g), (h), (i), (j), (l), or (m) of the definition of Permitted Disposition) or Sale and Leaseback Transaction by any Loan Party or its Subsidiaries, the Borrowers shall prepay the outstanding principal amount of the Term Loans in accordance with Section 2.05(d) in an amount equal to 100% of the Net Cash Proceeds received by such Person in connection with such Disposition or Sale and Leaseback Transaction to the extent that the aggregate amount of Net Cash Proceeds received by all Loan Parties and their Subsidiaries shall exceed for all such Dispositions and Sale and Leaseback Transactions $5,000,000 in any Fiscal Year (it being understood and agreed any prepayment of such Net Cash Proceeds shall be inclusive of this threshold amount each Fiscal Year once exceeded). Nothing contained in this Section 2.05(c)(ii) shall permit any Loan Party or any of its Subsidiaries to make a Disposition of any property other than in accordance with Section 7.02(c)(ii) or a Sale and Leaseback Transaction with respect to any property other than in accordance with Section 7.02(f).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Within 5 Business Days of the issuance or incurrence by any Loan Party or any of its Subsidiaries of any Indebtedness (other than Permitted Indebtedness), the Borrowers shall prepay the outstanding amount of the Loans in accordance with Section 2.05(d) in an amount equal to 100% of the Net Cash Proceeds received by such Person in connection therewith. The provisions of this Section 2.05(c)(iii) shall not be deemed to be implied consent to any such issuance or incurrence otherwise prohibited by the terms and conditions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Within 5 Business Days of the receipt by any Loan Party or any of its Subsidiaries of any Extraordinary Receipts in excess of $1,250,000 in the aggregate in any Fiscal Year, the Borrowers shall prepay the outstanding principal of the Term Loans in accordance with Section 2.05(d) in an amount equal to 100% of the Net Cash Proceeds (it being understood and agreed any prepayment of such Net Cash Proceeds shall be inclusive of this threshold amount each Fiscal Year once exceeded) received by such Person in connection with such Extraordinary Receipts.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(v)    Notwithstanding the foregoing, with respect to Net Cash Proceeds received by any Loan Party or any of its Subsidiaries in connection with (1) a Disposition (other than pursuant to clause (h) of the definition of “Permitted Disposition”) or the receipt of Extraordinary Receipts consisting of insurance proceeds or condemnation awards that are required to be used to prepay the Term Loans pursuant to Section 2.05(c)(ii) or Section 2.05(c)(iv), as the case may be, and (2) a Disposition pursuant to clause (h) of the definition of “Permitted Disposition”, the Net Cash Proceeds from such Dispositions and such Extraordinary Receipts shall not be required to be so used to prepay the Obligations to the extent that such Net Cash Proceeds are used to replace, repair, restore or otherwise acquire properties or assets (other than current assets) used or useful in such Person’s business;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no Event of Default has occurred and is continuing on the date such Person receives such Net Cash Proceeds, (B) the Administrative Borrower delivers a notice to the Administrative Agent within 10 Business Days after receipt of such Net Cash Proceeds stating that such Net Cash Proceeds are intended or expected to be used to replace, repair, restore or otherwise acquire properties or assets used or useful in such Person’s business within a period specified in such certificate not to exceed 180 days (or such longer period as the Administrative Agent may agree in its sole discretion) and (C) upon the expiration of the period specified in the relevant notice furnished to the Administrative Agent pursuant to clause (B) above (or, if a commitment to replace, repair, restore or otherwise acquire properties or assets has been entered into prior to the expiration of such period, then the expiration of the 180 day period following the expiration of such period), such Net Cash Proceeds, if not theretofore so used, shall be used to prepay the Term Loans in accordance with Section 2.05(c)(ii) or Section 2.05(c)(iv) as applicable;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the aggregate amount of Net Cash Proceeds reinvested pursuant to Section 2.05(c)(v)(1) shall not exceed $5,000,000 in any Fiscal Year, and the aggregate amount of Net Cash Proceeds reinvested pursuant to Section 2.05(c)(v)(2) shall not exceed $5,000,000 in any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To the extent any Exchange (as defined in each Exchange Agreement) under an Exchange Agreement is not consummated on or prior to the date that is twelve (12) Business Days (such twelfth (12th) Business Day, the “</w:t>
      </w:r>
      <w:r>
        <w:rPr>
          <w:rFonts w:ascii="Times New Roman" w:hAnsi="Times New Roman"/>
          <w:caps w:val="false"/>
          <w:smallCaps w:val="false"/>
          <w:sz w:val="20"/>
          <w:u w:val="single"/>
        </w:rPr>
        <w:t>Exchange Agreement Deadline</w:t>
      </w:r>
      <w:r>
        <w:rPr>
          <w:rFonts w:ascii="Times New Roman" w:hAnsi="Times New Roman"/>
          <w:caps w:val="false"/>
          <w:smallCaps w:val="false"/>
          <w:sz w:val="20"/>
        </w:rPr>
        <w:t xml:space="preserve">”) following the Effective Date and failure to consummate one or more Exchanges (as defined in each Exchange Agreement) causes the Exchange Threshold Amount to be positive, the Administrative Borrower shall promptly (and, in any event, within one (1) Business Day following the Exchange Agreement Deadline) prepay the Loans, in Dollars equal to one hundred percent (100%) of the Loans that were to be used to consummate such Exchange pursuant to an Exchange Agreement that was not consummated on or prior to the Exchange Agreement Deadline;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Administrative Borrower shall not be required to prepay Loans in excess of an amount that would cause the Exchange Threshold Amount to be less than zero;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if any such prepayment is required pursuant to this Section 2.05(c)(vi), the Administrative Agent is authorized and instructed to withdraw amounts on deposit in the Escrow Account in accordance with the Escrow Agreement to effectuate such prepayment.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    Notwithstanding any other provisions of this Section 2.05(c), (A) to the extent that any amount that would otherwise be required to be paid pursuant to Section 2.05(c)(i), Section 2.05(c)(ii) or Section 2.05(c)(iv) (collectively, the “</w:t>
      </w:r>
      <w:r>
        <w:rPr>
          <w:rFonts w:ascii="Times New Roman" w:hAnsi="Times New Roman"/>
          <w:caps w:val="false"/>
          <w:smallCaps w:val="false"/>
          <w:sz w:val="20"/>
          <w:u w:val="single"/>
        </w:rPr>
        <w:t>Subject Proceeds</w:t>
      </w:r>
      <w:r>
        <w:rPr>
          <w:rFonts w:ascii="Times New Roman" w:hAnsi="Times New Roman"/>
          <w:caps w:val="false"/>
          <w:smallCaps w:val="false"/>
          <w:sz w:val="20"/>
        </w:rPr>
        <w:t xml:space="preserve">”) is generated by an Excluded Subsidiary and is prohibited, delayed or restricted by (1) applicable local Requirements of Law or (2) the Governing Documents of such Excluded Subsidiary from being repatriated to the Borrowers, an amount equal to the portion of such Subject Proceeds so affected will not be required to be applied to repay the Loans at the times provided in this Section 2.05(c) but may be retained by such Excluded Subsidiary;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(x) the applicable local Requirements of Law cease to prohibit repatriation to the Borrowers, as determined by the Administrative Borrower in good faith following consultation with the Administrative Agent (the Borrowers hereby agreeing to use commercially reasonable efforts to cause such Excluded Subsidiary to promptly take all actions reasonably required by the applicable local Requirements of Law to permit such repatriation) or (y) the Governing Documents of such Excluded Subsidiary cease to prohibit such repatriation (the Borrowers hereby agreeing to use commercially reasonable efforts to cause such Excluded Subsidiary to amend its Governing Documents to permit such repatriation to the Borrowers), in each case, within 365 days following the date such Excess Cash Flow prepayment is required to be made or such Net Cash Proceeds are received, such repatriation will thereafter be promptly effected and an amount equal to such Subject Proceeds will be promptly (and in any event not later than 2 Business Days after such repatriation) applied (net of additional taxes payable or reserved against, and additional costs incurred, as a result thereof) to the repayment of the Loans pursuant to this Section 2.05(c) to the extent provided herein and (B) to the extent that the Administrative Borrower has reasonably determined in good faith, in consultation with the Administrative Agent, that repatriation of, or the obligation to repatriate, any Subject Proceeds attributable to any Excluded Subsidiary would have material adverse tax consequences to the Administrative Borrower or such owners that are Loan Parties or are part of a tax consolidated group with the Loan Parties, and its Subsidiaries, such Subject Proceeds will not be required to be applied to repay the Loans at the times provided in this Section 2.05(c) but may be retained by such Excluded Subsidiary until such time as it may repatriate such amount without incurring such material adverse tax consequences to the Administrative Borrower or its direct or indirect equityholders, and its Subsidiaries (at which time the Borrowers shall make a payment to repay the Loans to the extent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(viii)    The Administrative Borrower shall provide at least 5 Business Days prior written notice before 11:00 a.m. New York time to the Administrative Agent (or such shorter period as agreed by the Administrative Agent in its sole discretion) with respect to any prepayment expected to be made pursuant to this Section 2.05(c) (other than clause (c)(ix)) (any such notice, a “</w:t>
      </w:r>
      <w:r>
        <w:rPr>
          <w:rFonts w:ascii="Times New Roman" w:hAnsi="Times New Roman"/>
          <w:caps w:val="false"/>
          <w:smallCaps w:val="false"/>
          <w:sz w:val="20"/>
          <w:u w:val="single"/>
        </w:rPr>
        <w:t>Notice of Prepayment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(ix)    The Borrowers will immediately prepay the Revolving Loans at any time when the aggregate principal amount of all Revolving Loans exceeds the Borrowing Base, to the full extent of any such excess.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    Immediately upon receipt by the Borrowers of the proceeds received by any Loan Party or any of its Subsidiaries in connection with a sale of Accounts to a third party through factoring or another bulk sale thereof, the Borrowers shall prepay the outstanding principal of the Revolving Loans in an amount equal to 100% of such Net Cash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Application of Payments</w:t>
      </w:r>
      <w:r>
        <w:rPr>
          <w:rFonts w:ascii="Times New Roman" w:hAnsi="Times New Roman"/>
          <w:caps w:val="false"/>
          <w:smallCaps w:val="false"/>
          <w:sz w:val="20"/>
        </w:rPr>
        <w:t>. Each prepayment pursuant to subsection (c) (other than subsections (c)(ix), (x) and (xi)) above shall be applied, first, ratably to the Term Loans, until paid in full, and second, to the Revolving Loans, until paid in full. Each such prepayment of the Term Loans shall be applied against the remaining installments of principal of such Loan beginning with the latest occurring installment and thereafter in inverse order of maturity. Notwithstanding the foregoing, after the occurrence and during the continuance of an Event of Default, if the Administrative Agent has elected, or has been directed by the Collateral Agent or the Required Lenders, to apply payments in respect of any Obligations in accordance with Section 4.03(b), prepayments required under Section 2.05(c) shall be applied in the manner set forth in Section 4.03(b).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Interest and Fees</w:t>
      </w:r>
      <w:r>
        <w:rPr>
          <w:rFonts w:ascii="Times New Roman" w:hAnsi="Times New Roman"/>
          <w:caps w:val="false"/>
          <w:smallCaps w:val="false"/>
          <w:sz w:val="20"/>
        </w:rPr>
        <w:t>. Any prepayment made pursuant to this Section 2.05 shall be accompanied by (i) accrued interest on the principal amount being prepaid to the date of prepayment, (ii) any Funding Losses payable pursuant to Section 2.08, (iii) the Applicable Premium, if any, payable in connection with such prepayment of the Loans to the extent required under Section 2.06(a)(i) and (iv) the Supplemental Premium, if any, payable in connection with such prepayment of the Loans to the extent required under Section 2.06(a)(ii).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Cumulative Prepayments</w:t>
      </w:r>
      <w:r>
        <w:rPr>
          <w:rFonts w:ascii="Times New Roman" w:hAnsi="Times New Roman"/>
          <w:caps w:val="false"/>
          <w:smallCaps w:val="false"/>
          <w:sz w:val="20"/>
        </w:rPr>
        <w:t>. Except as otherwise expressly provided in this Section 2.05, payments with respect to any subsection of this Section 2.05 are in addition to payments made or required to be made under any other subsection of this Section 2.05.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Declining Lenders</w:t>
      </w:r>
      <w:r>
        <w:rPr>
          <w:rFonts w:ascii="Times New Roman" w:hAnsi="Times New Roman"/>
          <w:caps w:val="false"/>
          <w:smallCaps w:val="false"/>
          <w:sz w:val="20"/>
        </w:rPr>
        <w:t>. Each Lender may reject all or part of its applicable share of any mandatory prepayment (such declined amounts, the “</w:t>
      </w:r>
      <w:r>
        <w:rPr>
          <w:rFonts w:ascii="Times New Roman" w:hAnsi="Times New Roman"/>
          <w:caps w:val="false"/>
          <w:smallCaps w:val="false"/>
          <w:sz w:val="20"/>
          <w:u w:val="single"/>
        </w:rPr>
        <w:t>Initial Declined Proceeds</w:t>
      </w:r>
      <w:r>
        <w:rPr>
          <w:rFonts w:ascii="Times New Roman" w:hAnsi="Times New Roman"/>
          <w:caps w:val="false"/>
          <w:smallCaps w:val="false"/>
          <w:sz w:val="20"/>
        </w:rPr>
        <w:t>”) of Loans required to be made pursuant to Section 2.05(c) by providing written notice (each, a “</w:t>
      </w:r>
      <w:r>
        <w:rPr>
          <w:rFonts w:ascii="Times New Roman" w:hAnsi="Times New Roman"/>
          <w:caps w:val="false"/>
          <w:smallCaps w:val="false"/>
          <w:sz w:val="20"/>
          <w:u w:val="single"/>
        </w:rPr>
        <w:t>Rejection Notice</w:t>
      </w:r>
      <w:r>
        <w:rPr>
          <w:rFonts w:ascii="Times New Roman" w:hAnsi="Times New Roman"/>
          <w:caps w:val="false"/>
          <w:smallCaps w:val="false"/>
          <w:sz w:val="20"/>
        </w:rPr>
        <w:t>”) to the Administrative Agent no later than 3:00 p.m., New York City time, 3 Business Days prior to the date of such prepayment as set forth in the applicable Notice of Prepayment (any such Lender, a “</w:t>
      </w:r>
      <w:r>
        <w:rPr>
          <w:rFonts w:ascii="Times New Roman" w:hAnsi="Times New Roman"/>
          <w:caps w:val="false"/>
          <w:smallCaps w:val="false"/>
          <w:sz w:val="20"/>
          <w:u w:val="single"/>
        </w:rPr>
        <w:t>Declining Lender</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that, if a Lender fails to deliver a Rejection Notice to the Administrative Agent within the time frame specified above, such failure will be deemed an acceptance by such Lender of the total amount of such mandatory prepayment of the Loans. If there are any Initial Declined Proceeds, the Administrative Agent shall then provide written notice (the “</w:t>
      </w:r>
      <w:r>
        <w:rPr>
          <w:rFonts w:ascii="Times New Roman" w:hAnsi="Times New Roman"/>
          <w:caps w:val="false"/>
          <w:smallCaps w:val="false"/>
          <w:sz w:val="20"/>
          <w:u w:val="single"/>
        </w:rPr>
        <w:t>Second Offer</w:t>
      </w:r>
      <w:r>
        <w:rPr>
          <w:rFonts w:ascii="Times New Roman" w:hAnsi="Times New Roman"/>
          <w:caps w:val="false"/>
          <w:smallCaps w:val="false"/>
          <w:sz w:val="20"/>
        </w:rPr>
        <w:t>”) to the Lenders other than the Declining Lenders (such Lenders, the “</w:t>
      </w:r>
      <w:r>
        <w:rPr>
          <w:rFonts w:ascii="Times New Roman" w:hAnsi="Times New Roman"/>
          <w:caps w:val="false"/>
          <w:smallCaps w:val="false"/>
          <w:sz w:val="20"/>
          <w:u w:val="single"/>
        </w:rPr>
        <w:t>Accepting Lenders</w:t>
      </w:r>
      <w:r>
        <w:rPr>
          <w:rFonts w:ascii="Times New Roman" w:hAnsi="Times New Roman"/>
          <w:caps w:val="false"/>
          <w:smallCaps w:val="false"/>
          <w:sz w:val="20"/>
        </w:rPr>
        <w:t xml:space="preserve">”) of the additional amount available (due to such Declining Lenders’ declining such prepayment) to prepay the Loans owing to such Accepting Lenders, with such available amount to be allocated on a pro rata basis among the Accepting Lenders that accept the Second Offer. Any Lenders declining prepayment pursuant to such Second Offer shall give written notice thereof to the Administrative Agent by 4:00 p.m. New York City time no later than one Business Day prior to the date of such prepayment as set forth in the applicable Notice of Prepayment; </w:t>
      </w:r>
      <w:r>
        <w:rPr>
          <w:rFonts w:ascii="Times New Roman" w:hAnsi="Times New Roman"/>
          <w:caps w:val="false"/>
          <w:smallCaps w:val="false"/>
          <w:sz w:val="20"/>
          <w:u w:val="single"/>
        </w:rPr>
        <w:t>provided</w:t>
      </w:r>
      <w:r>
        <w:rPr>
          <w:rFonts w:ascii="Times New Roman" w:hAnsi="Times New Roman"/>
          <w:caps w:val="false"/>
          <w:smallCaps w:val="false"/>
          <w:sz w:val="20"/>
        </w:rPr>
        <w:t>, that, if a Lender fails to deliver a Rejection Notice to the Administrative Agent within the time frame specified above, such failure will be deemed a rejection of such Lender’s pro rata share of the Second Offer. The Borrowers shall prepay the applicable Loans by 12:00 (noon) New York City time on the prepayment date set forth in the applicable Notice of Prepayment. Amounts remaining after the allocation to the Accepting Lenders as set forth above may be retained by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2.06    </w:t>
      </w:r>
      <w:r>
        <w:rPr>
          <w:rFonts w:ascii="Times New Roman" w:hAnsi="Times New Roman"/>
          <w:caps w:val="false"/>
          <w:smallCaps w:val="false"/>
          <w:sz w:val="20"/>
          <w:u w:val="single"/>
        </w:rPr>
        <w:t>Fees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Applicable Premium</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Upon any voluntary permanent reduction of the Total Revolving Credit Commitment pursuant to Section 2.05(a)(i), or in the event that all or any portion any of the Term Loans is repaid or prepaid for any reason (including as a result of any mandatory prepayments, voluntary prepayments, payments made following acceleration of the Term Loans or after an Event of Default but excluding payments of the purchase price in connection with an assignment of the Loans or Commitments made pursuant to Section 12.02(c)) prior to the fourth anniversary of the Amendment No. 3 Effective Date (each an “</w:t>
      </w:r>
      <w:r>
        <w:rPr>
          <w:rFonts w:ascii="Times New Roman" w:hAnsi="Times New Roman"/>
          <w:caps w:val="false"/>
          <w:smallCaps w:val="false"/>
          <w:sz w:val="20"/>
          <w:u w:val="single"/>
        </w:rPr>
        <w:t>Applicable Premium Trigger Event</w:t>
      </w:r>
      <w:r>
        <w:rPr>
          <w:rFonts w:ascii="Times New Roman" w:hAnsi="Times New Roman"/>
          <w:caps w:val="false"/>
          <w:smallCaps w:val="false"/>
          <w:sz w:val="20"/>
        </w:rPr>
        <w:t>”), such reduction, repayments or prepayments will be made together with a premium equal to (A) 4.00% of the amount reduced, repaid or prepaid and accompanied by the Make-Whole Amount as of the date of such reduction, repayment or prepayment, if such reduction, repayment or prepayment occurs on or prior to the second anniversary of the Amendment No. 3 Effective Date, (B) 4.00% of the amount reduced, repaid or prepaid, if such reduction, repayment or prepayment occurs after the second anniversary of the Amendment No. 3 Effective Date but on or prior to the third anniversary of the Amendment No. 3 Effective Date, (C) 1.00% of the amount reduced, repaid or prepaid, if such reduction, repayment or prepayment occurs after the third anniversary of the Amendment No. 3 Effective Date, but on or prior to the fourth anniversary of the Amendment No. 3 Effective Date, and (D) 0% of the amount reduced, repaid or prepaid, if such reduction, repayment or prepayment occurs after the fourth anniversary of the Amendment No. 3 Effective Date (the foregoing premiums (including the Make-Whole Amount), the “</w:t>
      </w:r>
      <w:r>
        <w:rPr>
          <w:rFonts w:ascii="Times New Roman" w:hAnsi="Times New Roman"/>
          <w:caps w:val="false"/>
          <w:smallCaps w:val="false"/>
          <w:sz w:val="20"/>
          <w:u w:val="single"/>
        </w:rPr>
        <w:t>Applicable Premium</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(1) the Applicable Premium shall not apply to (x) scheduled amortization Installment payments made by Borrower pursuant to Section 2.03 and (y) mandatory prepayments by Borrower pursuant to Sections 2.05(c)(i) and 2.05(c)(iv) and (2) with respect to the Delayed Draw Term Loans only, each reference to the Amendment No. 3 Effective Date in this Section 2.06(a) shall be deemed to be a reference to the Delayed Draw Borrowing Date. If the Term Loans are accelerated or otherwise become due prior to their maturity date or the Revolving Credit Commitments are terminated, in each case, as a result of an Event of Default (including upon the occurrence of a bankruptcy or insolvency event (including the acceleration of claims by operation of law)), the amount of principal of and premium on the Term Loans that becomes due and payable or the amount of Revolving Credit Commitments so terminated, shall equal 100% of the principal amount of such Term Loans or Revolving Credit Commitments (as the case may be) plus the Applicable Premium in effect on the date of such acceleration or such other prior due date, as if such acceleration or other occurrence were a voluntary prepayment of such Term Loans accelerated or otherwise becoming due or as a permanent reduction of the Revolving Credit Commitments. Without limiting the generality of the foregoing, it is understood and agreed that if the Term Loans are accelerated or otherwise become due prior to their maturity date or the Revolving Credit Commitments are terminated, in each case, in respect of any Event of Default (including upon the occurrence of a bankruptcy or insolvency event (including the acceleration of claims by operation of law)), the Applicable Premium applicable with respect to a voluntary prepayment of Term Loans or reduction of Revolving Credit Commitments will also be due and payable on the date of such acceleration or such other prior due date as though the Term Loans were voluntarily prepaid or the Revolving Credit Commitments were voluntarily terminated as of such date and shall constitute part of the Obligations, in view of the impracticability and extreme difficulty of ascertaining actual damages and by mutual agreement of the parties as to a reasonable calculation of each Lender’s loss as a result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December 2025 Term Loan B Amendment Fee, which was fully earned as of the Amendment No. 2 Effective Date, shall be due and payable in full in cash to the Administrative Agent for the account of the Term Loan B Lenders and Delayed Draw Term Lenders in accordance with their Last Out Pro Rata Share (as defined in the Agreement Among Lenders) on the earliest of (i) the Final Maturity Date, (ii) the repayment in full of the Obligations, (iii) the occurrence of a Change of Control, and (iv) December 31,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Any Applicable Premium or Supplemental Premium payable in accordance with this Section 2.06(a) shall be presumed to be equal to the liquidated damages sustained by the Lenders as the result of the occurrence of the Applicable Premium Trigger Event and the Loan Parties agree that it is reasonable under the circumstances currently existing.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THE LOAN PARTIES EXPRESSLY WAIVE (TO THE EXTENT PERMITTED BY APPLICABLE LAW) THE PROVISIONS OF ANY PRESENT OR FUTURE STATUTE OR LAW THAT PROHIBITS OR MAY PROHIBIT THE COLLECTION OF THE FOREGOING AND BELOW NOTED APPLICABLE PREMIUM OR SUPPLEMENTAL PREMIUM IN CONNECTION WITH ANY ACCELERATION.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The Loan Parties expressly agree that: (A) each of the Applicable Premium and the Supplemental Premium is reasonable and is the product of an arm’s length transaction between sophisticated business people, ably represented by counsel; (B) each of the Applicable Premium and the Supplemental Premium shall be payable notwithstanding the then prevailing market rates at the time payment is made; (C) there has been a course of conduct between the Lenders and the Loan Parties giving specific consideration in this transaction for such agreement to pay each of the Applicable Premium and the Supplemental Premium; (D) the Loan Parties shall be estopped hereafter from claiming differently than as agreed to in this paragraph; (E) their agreement to pay each of the Applicable Premium and the Supplemental Premium is a material inducement to Lenders to provide the Commitments and make the Loans, and (F) each of the Applicable Premium and the Supplemental Premium represents a good faith, reasonable estimate and calculation of the lost profits or damages of the Lenders and that it would be impractical and extremely difficult to ascertain the actual amount of damages to the Agents and the Lenders or profits lost by the Agents and the Lenders as a result of the applicable reduction, repayment or prepayment.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Nothing contained in this Section 2.06(a) shall permit any prepayment of the Loans or reduction of the Commitments not otherwise permitted by the terms of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Other Supplemental Premium Payments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On the Amendment No. 2 Effective Date, the Borrower shall pay to the Administrative Agent for the account of the Revolving Lenders and Term Loan A Lenders, on a pro rata basis, an aggregate amount equal to $375,000 (the “</w:t>
      </w:r>
      <w:r>
        <w:rPr>
          <w:rFonts w:ascii="Times New Roman" w:hAnsi="Times New Roman"/>
          <w:caps w:val="false"/>
          <w:smallCaps w:val="false"/>
          <w:sz w:val="20"/>
          <w:u w:val="single"/>
        </w:rPr>
        <w:t>Amendment No. 2 Supplemental Premium</w:t>
      </w:r>
      <w:r>
        <w:rPr>
          <w:rFonts w:ascii="Times New Roman" w:hAnsi="Times New Roman"/>
          <w:caps w:val="false"/>
          <w:smallCaps w:val="false"/>
          <w:sz w:val="20"/>
        </w:rPr>
        <w:t>”), which such Amendment No. 2 Supplemental Premium shall be fully earned, non-refundable and payable on the Amendment No. 2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On September 30, 2026, or if earlier, upon termination of this Agreement, the Borrower shall pay to the Administrative Agent, for the account of the Revolving Lenders and Term Loan A Lenders, on a pro rata basis, an aggregate amount equal to $375,000 (the “</w:t>
      </w:r>
      <w:r>
        <w:rPr>
          <w:rFonts w:ascii="Times New Roman" w:hAnsi="Times New Roman"/>
          <w:caps w:val="false"/>
          <w:smallCaps w:val="false"/>
          <w:sz w:val="20"/>
          <w:u w:val="single"/>
        </w:rPr>
        <w:t>Q3 2026 Supplemental Premium</w:t>
      </w:r>
      <w:r>
        <w:rPr>
          <w:rFonts w:ascii="Times New Roman" w:hAnsi="Times New Roman"/>
          <w:caps w:val="false"/>
          <w:smallCaps w:val="false"/>
          <w:sz w:val="20"/>
        </w:rPr>
        <w:t>”), which such Q3 2026 Supplemental Premium shall be fully earned on the Amendment No. 2 Effective Date, non-refundable and payable on September 30, 2026, or if earlier, upon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On the Amendment No. 3 Effective Date, the Borrower shall pay to the Administrative Agent for the account of the Revolving Lenders and Term Loan A Lenders, on a pro rata basis, an aggregate amount equal to $250,000 (the “</w:t>
      </w:r>
      <w:r>
        <w:rPr>
          <w:rFonts w:ascii="Times New Roman" w:hAnsi="Times New Roman"/>
          <w:caps w:val="false"/>
          <w:smallCaps w:val="false"/>
          <w:sz w:val="20"/>
          <w:u w:val="single"/>
        </w:rPr>
        <w:t>Amendment No. 3 Supplemental Premium</w:t>
      </w:r>
      <w:r>
        <w:rPr>
          <w:rFonts w:ascii="Times New Roman" w:hAnsi="Times New Roman"/>
          <w:caps w:val="false"/>
          <w:smallCaps w:val="false"/>
          <w:sz w:val="20"/>
        </w:rPr>
        <w:t>”), which such Amendment No. 3 Supplemental Premium shall be fully earned, non-refundable and payable in cash on the Amendment No. 3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Fee Letters</w:t>
      </w:r>
      <w:r>
        <w:rPr>
          <w:rFonts w:ascii="Times New Roman" w:hAnsi="Times New Roman"/>
          <w:caps w:val="false"/>
          <w:smallCaps w:val="false"/>
          <w:sz w:val="20"/>
        </w:rPr>
        <w:t>. As and when due and payable under the terms of the Fee Letters, the Borrowers shall pay the fees set forth in the Fee Letters; provided, that, notwithstanding anything in the Administrative Agent Fee Letter to the contrary, with respect to any Delayed Draw Term Loans funded on or after the Amendment No. 3 Effective Date, the Delayed Draw Fees (as defined in the Administrative Agent Fee Letter) shall be modified to instead require the payment of a fee equal to 3.00% of the aggregate principal amount of each such Delayed Draw Term Loan, payable at the time of the funding thereof, which shall be net funded from the proceeds thereof (it being understood and agreed that the foregoing modification shall only affect the timing of the payment of such fee, but all other terms of the Administrative Agent Fee Letter, including those related to original issue discount, shall continue to apply to such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Unused Line Fee</w:t>
      </w:r>
      <w:r>
        <w:rPr>
          <w:rFonts w:ascii="Times New Roman" w:hAnsi="Times New Roman"/>
          <w:caps w:val="false"/>
          <w:smallCaps w:val="false"/>
          <w:sz w:val="20"/>
        </w:rPr>
        <w:t>. From and after the Effective Date and until the Termination Date, the Borrowers shall pay to the Servicing Agent for the account of the Revolving Loan Lenders, in accordance with their Pro Rata Shares, monthly in arrears on the first Business Day of each month, an unused line fee (the “</w:t>
      </w:r>
      <w:r>
        <w:rPr>
          <w:rFonts w:ascii="Times New Roman" w:hAnsi="Times New Roman"/>
          <w:caps w:val="false"/>
          <w:smallCaps w:val="false"/>
          <w:sz w:val="20"/>
          <w:u w:val="single"/>
        </w:rPr>
        <w:t>Unused Line Fee</w:t>
      </w:r>
      <w:r>
        <w:rPr>
          <w:rFonts w:ascii="Times New Roman" w:hAnsi="Times New Roman"/>
          <w:caps w:val="false"/>
          <w:smallCaps w:val="false"/>
          <w:sz w:val="20"/>
        </w:rPr>
        <w:t>”), which shall accrue at the rate per annum of 0.50% on the excess, if any, of the Total Revolving Credit Commitment over the sum of the average principal amount of all Revolving Loans outstanding from time to time during the preceding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SPA Non-Approval Fee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To the extent that the Amendment No. 3 Securities Purchase Agreement is terminated as a result of Accuray’s failure to obtain the necessary shareholder approvals therefor (or for any other reason pursuant to Section 8 thereof), the Cash Investment (as defined therein) shall automatically be deemed to be an Obligation hereunder and be secured by the Collateral. Furthermore, upon any such termination, Borrowers shall pay to the Administrative Agent for the account of the Investors, on a pro rata basis (based on the amount of the Cash Investment made by each such Investor), an aggregate amount equal to $15,000,000 (the “</w:t>
      </w:r>
      <w:r>
        <w:rPr>
          <w:rFonts w:ascii="Times New Roman" w:hAnsi="Times New Roman"/>
          <w:caps w:val="false"/>
          <w:smallCaps w:val="false"/>
          <w:sz w:val="20"/>
          <w:u w:val="single"/>
        </w:rPr>
        <w:t>SPA Non-Approval Fee</w:t>
      </w:r>
      <w:r>
        <w:rPr>
          <w:rFonts w:ascii="Times New Roman" w:hAnsi="Times New Roman"/>
          <w:caps w:val="false"/>
          <w:smallCaps w:val="false"/>
          <w:sz w:val="20"/>
        </w:rPr>
        <w:t>”), which such SPA Non-Approval Fee shall be fully earned and non-refundable on such date of termination, and payable in full in cash, together with the repayment in full in cash of the Cash Investment, on the earliest to occur of (w) the Final Maturity Date, (x) the indefeasible payment in full in cash of all Obligations (other than the Cash Investment and the SPA Non-Approval Fee) that are due and payable hereunder, (y) the acceleration (including as a result of the commencement of any proceeding under any Debtor Relief Law) of all or any portion of the Obligations, or (z) the satisfaction, release, payment, restructuring, reorganization, replacement, reinstatement, defeasance or compromise of any of the Obligations, foreclosure (whether by power of judicial proceeding or otherwise) or deed in lieu of foreclosure or the making of a distribution of any kind to the Administrative Agent and Lenders in full or partial satisfaction of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Loan Parties expressly agree that: (A) the SPA Non-Approval Fee is reasonable and is the product of an arm’s length transaction between sophisticated business people, ably represented by counsel; (B) the SPA Non-Approval Fee shall be payable notwithstanding the then prevailing market rates at the time payment is made; (C) there has been a course of conduct between the Term Loan B Lenders and the Loan Parties giving specific consideration in this transaction for such agreement to pay the SPA Non-Approval Fee; (D) the Loan Parties shall be estopped hereafter from claiming differently than as agreed to in this paragraph; (E) their agreement to pay the SPA Non-Approval Fee is a material inducement to the Term Loan B Lenders to provide the accommodations contemplated by the Amendment No. 3 and the transactions consummated in connection therewith, and (F) the SPA Non-Approval Fee represents a good faith, reasonable estimate and calculation of the lost profits or damages of the Term Loan B Lenders and that it would be impractical and extremely difficult to ascertain the actual amount of damages to the Term Loan B Lenders or profits lost by the Term Loan B Lenders as a result of the termination of the Amendment No. 3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2.07    </w:t>
      </w:r>
      <w:r>
        <w:rPr>
          <w:rFonts w:ascii="Times New Roman" w:hAnsi="Times New Roman"/>
          <w:caps w:val="false"/>
          <w:smallCaps w:val="false"/>
          <w:sz w:val="20"/>
          <w:u w:val="single"/>
        </w:rPr>
        <w:t>SOFR Option; Suspension of SOFR Option; Benchmark Transition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Borrowers may, at any time and from time to time, so long as no Default or Event of Default has occurred and is continuing, elect to have interest on all or a portion of the Loans be charged at a rate of interest based upon Adjusted Term SOFR (the “</w:t>
      </w:r>
      <w:r>
        <w:rPr>
          <w:rFonts w:ascii="Times New Roman" w:hAnsi="Times New Roman"/>
          <w:caps w:val="false"/>
          <w:smallCaps w:val="false"/>
          <w:sz w:val="20"/>
          <w:u w:val="single"/>
        </w:rPr>
        <w:t>SOFR Option</w:t>
      </w:r>
      <w:r>
        <w:rPr>
          <w:rFonts w:ascii="Times New Roman" w:hAnsi="Times New Roman"/>
          <w:caps w:val="false"/>
          <w:smallCaps w:val="false"/>
          <w:sz w:val="20"/>
        </w:rPr>
        <w:t>”) by notifying the Administrative Agent and the Servicing Agent (with respect to Revolving Loans) prior to 11:00 a.m. (New York City time) at least 3 U.S. Government Securities Business Days prior to (i) the proposed borrowing date of a Loan (as provided Section 2.02), (ii) in the case of the conversion of a Reference Rate Loan to a SOFR Loan, the commencement of the proposed Interest Period or (iii) in the case of the continuation of a SOFR Loan as a SOFR Loan, the last day of the then current Interest Period (the “</w:t>
      </w:r>
      <w:r>
        <w:rPr>
          <w:rFonts w:ascii="Times New Roman" w:hAnsi="Times New Roman"/>
          <w:caps w:val="false"/>
          <w:smallCaps w:val="false"/>
          <w:sz w:val="20"/>
          <w:u w:val="single"/>
        </w:rPr>
        <w:t>SOFR Deadline</w:t>
      </w:r>
      <w:r>
        <w:rPr>
          <w:rFonts w:ascii="Times New Roman" w:hAnsi="Times New Roman"/>
          <w:caps w:val="false"/>
          <w:smallCaps w:val="false"/>
          <w:sz w:val="20"/>
        </w:rPr>
        <w:t>”). Notice of the Borrowers’ election of the SOFR Option for a permitted portion of the Loans and an Interest Period pursuant to this Section 2.07(a) shall be made by delivery to the Administrative Agent and the Servicing Agent (with respect to Revolving Loans) of (A) a Notice of Borrowing (in the case of the initial making of a Loan) in accordance with Section 2.02. or (B) a SOFR Notice prior to the SOFR Deadline (by delivery to the Administrative Agent and the Servicing Agent (with respect to Revolving Loans) of a SOFR Notice received by the Administrative Agent prior to 5:00 p.m. (New York City time) on the same day)). Promptly upon its receipt of each such SOFR Notice, the Administrative Agent shall provide a copy thereof to each of the Lenders. Each SOFR Notice shall be irrevocable and binding on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Interest on SOFR Loans shall be payable in accordance with Section 2.04(d). On the last day of each applicable Interest Period, unless the Borrowers properly have exercised the SOFR Option with respect thereto, the interest rate applicable to such SOFR Loans automatically shall convert to the rate of interest then applicable to Reference Rate Loans of the same type hereunder. At any time that an Event of Default has occurred and is continuing, the Borrowers no longer shall have the option to request that any portion of the Loans bear interest at the SOFR Loan and the Administrative Agent shall have the right to convert the interest rate on all outstanding SOFR Loans to the rate of interest then applicable to Reference Rate Loans of the same type hereunder on the last day of the then current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Notwithstanding anything to the contrary contained in this Agreement, the Borrowers (i) shall have not more than 5 SOFR Loans (or such greater amount as the Administrative Agent may agree) in effect at any given time, and (ii) only may exercise the SOFR Option for SOFR Loans of at least $500,000 and integral multiples of $100,000 in excess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The Borrowers may prepay SOFR Loans at any time;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the event that SOFR Loans are prepaid on any date that is not the last day of the Interest Period applicable thereto, including as a result of any mandatory prepayment pursuant to Section 2.05(c) or any application of payments or proceeds of Collateral in accordance with Section 4.03 or Section 4.04 or for any other reason, including early termination of the term of this Agreement or acceleration of all or any portion of the Obligations pursuant to the terms hereof, the Borrowers shall indemnify, defend, and hold the Agents and the Lenders and their participants harmless against any and all Funding Losses in accordance with Section 2.08.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If Administrative Agent shall have determined in good faith that for any reason adequate and reasonable means do not exist for ascertaining the Adjusted Term SOFR for any requested Interest Period with respect to a proposed SOFR Loan or that the Adjusted Term SOFR rate applicable pursuant to Section 2.04 for any requested Interest Period with respect to a proposed SOFR Loan does not adequately and fairly reflect the cost to the Lenders of funding or maintaining such Loan, Administrative Agent will forthwith give notice of such determination to the Borrower and each Lender. Thereafter, the obligation of the Lenders to make or maintain SOFR Loans hereunder shall be suspended (to the extent of the affected SOFR Loans or, in the case of a Term SOFR Borrowing, the affected Interest Periods) until Administrative Agent revokes such notice in writing. Upon receipt of such notice, the Borrower may revoke any Notice of Borrowing or notice of conversion or continuation of SOFR Loans (to the extent of the affected SOFR Loans or, in the case of a Term SOFR Borrowing, the affected Interest Periods) then submitted by it. If the Borrower does not revoke such notice, the Lenders shall make, convert or continue the Loans, as proposed by the Borrower, in the amount specified in the applicable notice submitted by the Borrower, but such Loans shall be made, converted or continued as Reference Rate Loans immediately or, in the case of a Term SOFR Borrowing, at the end of the applicable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Benchmark Replacement Setting</w:t>
      </w:r>
      <w:r>
        <w:rPr>
          <w:rFonts w:ascii="Times New Roman" w:hAnsi="Times New Roman"/>
          <w:caps w:val="false"/>
          <w:smallCaps w:val="false"/>
          <w:sz w:val="20"/>
        </w:rPr>
        <w:t>. Notwithstanding anything to the contrary herein or in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Benchmark Replacement</w:t>
      </w:r>
      <w:r>
        <w:rPr>
          <w:rFonts w:ascii="Times New Roman" w:hAnsi="Times New Roman"/>
          <w:caps w:val="false"/>
          <w:smallCaps w:val="false"/>
          <w:sz w:val="20"/>
        </w:rPr>
        <w:t>. Notwithstanding anything to the contrary herein or in any other Loan Document, upon the occurrence of a Benchmark Transition Event, Administrative Agent and the Borrower may amend this Agreement to replace the then-current Benchmark with a Benchmark Replacement. Any such amendment with respect to a Benchmark Transition Event will become effective at 4:00 p.m. (New York time) on the fifth (5th) U.S. Government Securities Business Day after Administrative Agent has posted such proposed amendment to all affected Lenders and the Borrower so long as Administrative Agent has not received, by such time, written notice of objection to such amendment from Lenders comprising the Required Lenders. No replacement of a Benchmark with a Benchmark Replacement pursuant to this Section 2.07(h)(i) will occur prior to the applicable Benchmark Transition Start Date. For the avoidance of doubt, no Hedging Agreement shall be deemed to be a “Loan Document” for purposes of this Section 2.07.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Benchmark Replacement Conforming Changes</w:t>
      </w:r>
      <w:r>
        <w:rPr>
          <w:rFonts w:ascii="Times New Roman" w:hAnsi="Times New Roman"/>
          <w:caps w:val="false"/>
          <w:smallCaps w:val="false"/>
          <w:sz w:val="20"/>
        </w:rPr>
        <w:t>. In connection with the use, administration, adoption or implementation of a Benchmark Replacement,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Notices; Standards for Decisions and Determinations</w:t>
      </w:r>
      <w:r>
        <w:rPr>
          <w:rFonts w:ascii="Times New Roman" w:hAnsi="Times New Roman"/>
          <w:caps w:val="false"/>
          <w:smallCaps w:val="false"/>
          <w:sz w:val="20"/>
        </w:rPr>
        <w:t>. Administrative Agent will promptly notify the Borrower and the Lenders of (A) the implementation of any Benchmark Replacement and (B) the effectiveness of any Conforming Changes in connection with the use, administration, adoption or implementation of a Benchmark Replacement. Administrative Agent will notify the Borrower of the commencement of any Benchmark Unavailability Period. Any determination, decision or election that may be made by Administrative Agent or, if applicable, any Lender (or group of Lenders) pursuant to this Section 2.07,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Benchmark Unavailability Period</w:t>
      </w:r>
      <w:r>
        <w:rPr>
          <w:rFonts w:ascii="Times New Roman" w:hAnsi="Times New Roman"/>
          <w:caps w:val="false"/>
          <w:smallCaps w:val="false"/>
          <w:sz w:val="20"/>
        </w:rPr>
        <w:t>. Upon the Borrower’s receipt of notice of the commencement of a Benchmark Unavailability Period, Borrower may revoke any request for an advance of a SOFR Borrowing, conversion to or continuation of SOFR Loans to be made, converted or continued during any Benchmark Unavailability Period and, failing that, Borrower will be deemed to have converted any such request into a request for a Borrowing of or conversion to Reference Rate Loans. During any Benchmark Unavailability Period, the component of Reference Rate based upon the Adjusted Term SOFR will not be used in any determination of the Reference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Illegality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If after the Effective Date, any Lender shall determine that the introduction of any Requirement of Law, or any change in any Requirement of Law or in the interpretation or administration thereof, has made it unlawful, or that any central bank or other Governmental Authority has asserted that it is unlawful, for any Lender or its Lending Office to make SOFR Loans, then, on notice thereof by such Lender to the Borrower through Administrative Agent, the obligation of that Lender to make SOFR Loans shall be suspended until such Lender shall have notified Administrative Agent and the Borrower that the circumstances giving rise to such determination no longer exists.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Subject to clause (iii) below, if any Lender shall determine that it is unlawful to maintain any SOFR Loan, the Borrower shall prepay in full all SOFR Loans of such Lender then outstanding, together with interest accrued thereon, either on the last day of the Interest Period, as applicable, thereof if such Lender may lawfully continue to maintain such SOFR Loans to such day, or immediately, if such Lender may not lawfully continue to maintain such SOFR Loans, together with any amounts required to be paid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If the obligation of any Lender to make or maintain SOFR Loans has become unlawful, instead of prepaying outstanding SOFR Loans in full as provided in clause (ii) above, the Borrower may elect, by giving notice to such Lender through Administrative Agent, that all Loans which would otherwise be made or continued by any such Lender as SOFR Loans shall be instead made or converted to Reference Rate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Before giving any notice to Administrative Agent pursuant to Section 2.07(i), the affected Lender shall designate a different Lending Office with respect to its SOFR Loans if such designation will avoid the need for giving such notice or making such demand and will not, in the judgment of the Lender, be illegal or otherwise disadvantageous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Reserves on SOFR Loans</w:t>
      </w:r>
      <w:r>
        <w:rPr>
          <w:rFonts w:ascii="Times New Roman" w:hAnsi="Times New Roman"/>
          <w:caps w:val="false"/>
          <w:smallCaps w:val="false"/>
          <w:sz w:val="20"/>
        </w:rPr>
        <w:t xml:space="preserve">. The Borrower shall pay to each Lender, as long as such Lender shall be required under regulations of the Federal Reserve Board to maintain reserves with respect to liabilities or assets consisting of or including SOFR funds or deposits, additional costs on the unpaid principal amount of each SOFR Loan equal to actual costs of such reserves allocated to such Loan by such Lender (as determined by such Lender in good faith, which determination shall be conclusive absent manifest error), payable on each date on which interest is payable on such Loan provided the Borrower shall have received at least fifteen (15) days’ prior written notice (with a copy to Administrative Agent and Servicing Agent) of such additional interest from the Lender. If a Lender fails to give notice fifteen (15) days prior to the relevant Interest Payment Date, such additional interest shall be payable fifteen (15) days from receipt of such notice. Notwithstanding anything to the contrary contained in this </w:t>
      </w:r>
      <w:r>
        <w:rPr>
          <w:rFonts w:ascii="Times New Roman" w:hAnsi="Times New Roman"/>
          <w:caps w:val="false"/>
          <w:smallCaps w:val="false"/>
          <w:sz w:val="20"/>
          <w:u w:val="single"/>
        </w:rPr>
        <w:t>Section 2.07(j)</w:t>
      </w:r>
      <w:r>
        <w:rPr>
          <w:rFonts w:ascii="Times New Roman" w:hAnsi="Times New Roman"/>
          <w:caps w:val="false"/>
          <w:smallCaps w:val="false"/>
          <w:sz w:val="20"/>
        </w:rPr>
        <w:t xml:space="preserve">, Borrower shall not be required to compensate a Lender pursuant to the foregoing provisions of this </w:t>
      </w:r>
      <w:r>
        <w:rPr>
          <w:rFonts w:ascii="Times New Roman" w:hAnsi="Times New Roman"/>
          <w:caps w:val="false"/>
          <w:smallCaps w:val="false"/>
          <w:sz w:val="20"/>
          <w:u w:val="single"/>
        </w:rPr>
        <w:t>Section 2.07(j)</w:t>
      </w:r>
      <w:r>
        <w:rPr>
          <w:rFonts w:ascii="Times New Roman" w:hAnsi="Times New Roman"/>
          <w:caps w:val="false"/>
          <w:smallCaps w:val="false"/>
          <w:sz w:val="20"/>
        </w:rPr>
        <w:t xml:space="preserve"> for any additional interest incurred, or relating to Loans made, more than nine (9) months prior to the date that such Lender notifies the Borrower of the requirement to pay such additional interest (except that, if the requirements under the regulations of the Federal Reserve Board giving rise to such additional interest is retroactive, then the nine (9) month period referred to above shall be extended to include the period of retroactive effect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2.08    </w:t>
      </w:r>
      <w:r>
        <w:rPr>
          <w:rFonts w:ascii="Times New Roman" w:hAnsi="Times New Roman"/>
          <w:caps w:val="false"/>
          <w:smallCaps w:val="false"/>
          <w:sz w:val="20"/>
          <w:u w:val="single"/>
        </w:rPr>
        <w:t>Funding Losses</w:t>
      </w:r>
      <w:r>
        <w:rPr>
          <w:rFonts w:ascii="Times New Roman" w:hAnsi="Times New Roman"/>
          <w:caps w:val="false"/>
          <w:smallCaps w:val="false"/>
          <w:sz w:val="20"/>
        </w:rPr>
        <w:t>. In connection with each SOFR Loan, the Borrowers shall indemnify, defend, and hold the Agents and the Lenders harmless against any loss, cost, or expense (but excluding any loss of profit) incurred by any Agent or any Lender as a result of (a) the payment of any principal of any SOFR Loan other than on the last day of an Interest Period applicable thereto (including as a result of an Event of Default or any mandatory prepayment required pursuant to Section 2.05(c)), (b) the conversion of any SOFR Loan other than on the last day of the Interest Period applicable thereto (including as a result of an Event of Default), or (c) the failure to borrow, convert, continue or prepay any SOFR Loan on the date specified in any Notice of Borrowing or SOFR Notice delivered pursuant hereto (such losses, costs, and expenses, collectively, “</w:t>
      </w:r>
      <w:r>
        <w:rPr>
          <w:rFonts w:ascii="Times New Roman" w:hAnsi="Times New Roman"/>
          <w:caps w:val="false"/>
          <w:smallCaps w:val="false"/>
          <w:sz w:val="20"/>
          <w:u w:val="single"/>
        </w:rPr>
        <w:t>Funding Losses</w:t>
      </w:r>
      <w:r>
        <w:rPr>
          <w:rFonts w:ascii="Times New Roman" w:hAnsi="Times New Roman"/>
          <w:caps w:val="false"/>
          <w:smallCaps w:val="false"/>
          <w:sz w:val="20"/>
        </w:rPr>
        <w:t xml:space="preserve">”). Funding Losses shall, with respect to any Agent or any Lender, be deemed to equal the amount reasonably determined by such Agent or such Lender to be the excess, if any, of (i) the amount of interest that would have accrued on the principal amount of such SOFR Loan had such event not occurred, at the SOFR rate that would have been applicable thereto, for the period from the date of such event to the last day of the then current Interest Period therefor (or, in the case of a failure to borrow, convert or continue, for the period that would have been the Interest Period therefor), </w:t>
      </w:r>
      <w:r>
        <w:rPr>
          <w:rFonts w:ascii="Times New Roman" w:hAnsi="Times New Roman"/>
          <w:caps w:val="false"/>
          <w:smallCaps w:val="false"/>
          <w:sz w:val="20"/>
          <w:u w:val="single"/>
        </w:rPr>
        <w:t xml:space="preserve">minus </w:t>
      </w:r>
      <w:r>
        <w:rPr>
          <w:rFonts w:ascii="Times New Roman" w:hAnsi="Times New Roman"/>
          <w:caps w:val="false"/>
          <w:smallCaps w:val="false"/>
          <w:sz w:val="20"/>
        </w:rPr>
        <w:t>(ii) the amount of interest that would accrue on such principal amount for such period at the interest rate which such Agent or such Lender would be offered were it to be offered, at the commencement of such period, Dollar deposits of a comparable amount and period in the London interbank market. A certificate of an Agent or a Lender delivered to the Administrative Borrower setting forth in reasonable detail any amount or amounts that such Agent or such Lender is entitled to receive pursuant to this Section 2.08 shall be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2.09    </w:t>
      </w:r>
      <w:r>
        <w:rPr>
          <w:rFonts w:ascii="Times New Roman" w:hAnsi="Times New Roman"/>
          <w:caps w:val="false"/>
          <w:smallCaps w:val="false"/>
          <w:sz w:val="20"/>
          <w:u w:val="single"/>
        </w:rPr>
        <w:t>Taxes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Any and all payments by or on account of any obligation of any Loan Party hereunder or under any other Loan Document shall be made free and clear of and without deduction or withholding for any and all Taxes, except as required by applicable law. If any applicable law (as determined in the good faith discretion of any Withholding Agent) requires the deduction or withholding of any Taxes from or in respect of any such payment, (i) the applicable Withholding Agent shall make such deduction or withholding, (ii) the applicable Withholding Agent shall pay the full amount deducted to the relevant Governmental Authority in accordance with applicable law and (iii) if such Tax is an Indemnified Tax, then the sum payable by the applicable Loan Party shall be increased by the amount (an “</w:t>
      </w:r>
      <w:r>
        <w:rPr>
          <w:rFonts w:ascii="Times New Roman" w:hAnsi="Times New Roman"/>
          <w:caps w:val="false"/>
          <w:smallCaps w:val="false"/>
          <w:sz w:val="20"/>
          <w:u w:val="single"/>
        </w:rPr>
        <w:t>Additional Amount</w:t>
      </w:r>
      <w:r>
        <w:rPr>
          <w:rFonts w:ascii="Times New Roman" w:hAnsi="Times New Roman"/>
          <w:caps w:val="false"/>
          <w:smallCaps w:val="false"/>
          <w:sz w:val="20"/>
        </w:rPr>
        <w:t>”) necessary such that after making all required deductions and withholdings (including deductions and withholdings applicable to additional sums payable under this Section 2.09) the applicable Recipient receives the amount equal to the sum it would have received had no such deduction or withholding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In addition, each Loan Party shall pay to the relevant Governmental Authority in accordance with applicable law any Other Taxes, or at the option of the Administrative Agent timely reimburse it for the payment of any Other Taxes by any Secured Party. Each Loan Party shall deliver to each Secured Party official receipts in respect of any Taxes or Other Taxes payable hereunder, or other evidence of such payment reasonably satisfactory to the Administrative Agent, promptly after payment of such Taxes or Other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Loan Parties hereby jointly and severally indemnify and agree to hold each Secured Party harmless from and against Indemnified Taxes (including, without limitation, Indemnified Taxes imposed on any amounts payable under this Section 2.09) paid or payable by such Secured Party or required to be withheld or deducted from a payment to such Secured Party and any reasonable expenses arising therefrom or with respect thereto, whether or not such Indemnified Taxes were correctly or legally asserted by the relevant Governmental Authority. Such indemnification shall be paid within 10 days from the date on which any such Person makes written demand therefore specifying in reasonable detail the nature and amount of such Indemnified Taxes. A certificate as to the amount of such payment or liability delivered to the Borrower by a Secured Party (with a copy to the Administrative Agent) or by the Administrative Agent on its own behalf or on behalf of another Secured Party shall be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(i) Any Lender that is entitled to an exemption from or reduction of withholding Tax with respect to payments made under any Loan Document shall deliver to the Administrative Borrower and the Administrative Agent, at the time or times reasonably requested by the Administrative Borrower or the Administrative Agent, such properly completed and executed documentation reasonably requested by the Administrative Borrower or the Administrative Agent as will permit such payments to be made without withholding or at a reduced rate of withholding. In addition, any Lender, if reasonably requested by the Administrative Borrower or the Administrative Agent, shall deliver such other documentation prescribed by applicable law or reasonably requested by the Administrative Borrower or the Administrative Agent as will enable the Administrative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2.09(d)(ii)(A),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Without limiting the generality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(B)    any Lender that is not a U.S. Person (a “</w:t>
      </w:r>
      <w:r>
        <w:rPr>
          <w:rFonts w:ascii="Times New Roman" w:hAnsi="Times New Roman"/>
          <w:caps w:val="false"/>
          <w:smallCaps w:val="false"/>
          <w:sz w:val="20"/>
          <w:u w:val="single"/>
        </w:rPr>
        <w:t>Foreign Lender</w:t>
      </w:r>
      <w:r>
        <w:rPr>
          <w:rFonts w:ascii="Times New Roman" w:hAnsi="Times New Roman"/>
          <w:caps w:val="false"/>
          <w:smallCaps w:val="false"/>
          <w:sz w:val="20"/>
        </w:rPr>
        <w:t>”) shall, to the extent it is legally entitled to do so, deliver to the Borrower and the Administrative Agent (in such number of copies as shall be reasonably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 w:hAnsi="Times New Roman"/>
          <w:caps w:val="false"/>
          <w:smallCaps w:val="false"/>
          <w:sz w:val="20"/>
        </w:rPr>
      </w:pPr>
      <w:r>
        <w:rPr>
          <w:rFonts w:ascii="Times New Roman" w:hAnsi="Times New Roman"/>
          <w:caps w:val="false"/>
          <w:smallCaps w:val="false"/>
          <w:sz w:val="20"/>
        </w:rPr>
        <w:t>(1)    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 w:hAnsi="Times New Roman"/>
          <w:caps w:val="false"/>
          <w:smallCaps w:val="false"/>
          <w:sz w:val="20"/>
        </w:rPr>
      </w:pPr>
      <w:r>
        <w:rPr>
          <w:rFonts w:ascii="Times New Roman" w:hAnsi="Times New Roman"/>
          <w:caps w:val="false"/>
          <w:smallCaps w:val="false"/>
          <w:sz w:val="20"/>
        </w:rPr>
        <w:t>(2)    executed copies of IRS Form W-8ECI;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 w:hAnsi="Times New Roman"/>
          <w:caps w:val="false"/>
          <w:smallCaps w:val="false"/>
          <w:sz w:val="20"/>
        </w:rPr>
      </w:pPr>
      <w:r>
        <w:rPr>
          <w:rFonts w:ascii="Times New Roman" w:hAnsi="Times New Roman"/>
          <w:caps w:val="false"/>
          <w:smallCaps w:val="false"/>
          <w:sz w:val="20"/>
        </w:rPr>
        <w:t>(3)    in the case of a Foreign Lender claiming the benefits of the exemption for portfolio interest under Section 881(c) of the Internal Revenue Code, (x) a certificate substantially in the form of Exhibit 2.09(d)-1 hereto to the effect that such Foreign Lender is not a “bank” within the meaning of Section 881(c)(3)(A) of the Internal Revenue Code, a “10 percent shareholder” of the Borrower within the meaning of Section 881(c)(3)(B) of the Internal Revenue Code, or a “controlled foreign corporation” related to any Loan Party described in Section 881(c)(3)(C) of the Internal Revenue Code (a “</w:t>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t>”) and (y) executed copies of IRS Form W-8BEN or W-8BEN-E;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(4)    to the extent a Foreign Lender is not the beneficial owner, executed copies of IRS Form W-8IMY, accompanied by IRS Form W-8ECI, IRS Form W-8BEN or W-8BEN-E, a U.S. Tax Compliance Certificate substantially in the form of Exhibit 2.09(d)-2 or Exhibit 2.09(d)-3, IRS Form W-9, or other certification documents from each beneficial owner, as applicable;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2.09(d)-4 on behalf of each such direct and indirect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(C)    any Foreign Lender shall, to the extent it is legally entitled to do so, deliver to the Borrower and the Administrative Agent (in such number of copies as shall be reasonably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Lender agrees that if any form or certification it previously delivered expires or becomes obsolete or inaccurate in any respect, it shall update such form or certification or promptly notify the Administrative Agent in writing of its legal inability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12.07(i)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If any party determines, in its sole discretion exercised in good faith, that it has received a refund of any Taxes as to which it has been indemnified pursuant to this Section 2.09 (including by the payment of Additional Amounts pursuant to this Section 2.09), it shall pay to the indemnifying party an amount equal to such refund (but only to the extent of indemnity payments made under this Section 2.09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(f) (plus any penalties, interest or other charges imposed by the relevant Governmental Authority) in the event that such indemnified party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The Administrative Agent shall provide the Administrative Borrower with two copies of, if it is a United States person under Section 7701(a)(30) of the Internal Revenue Code, IRS Form W-9 certifying that it is exempt from U.S. federal backup withholding, and, if it is not a United States person, (1) IRS Form W-8ECI with respect to payments to be received by it as a beneficial owner and (2) IRS Form W-8IMY (together with required accompanying documentation) with respect to payments to be received by it on behalf of the Lenders, certifying that, for such purpose, it is a U.S. branch that has agreed to be treated as a U.S. person for U.S. federal tax purposes. Notwithstanding any other provision of this paragraph (g), the Administrative Agent shall not be required to deliver any documentation that the Administrative Agent is not legally eligible to deliver.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The obligations of the Loan Parties under this Section 2.09 shall survive the resignation or replacement of the Administrative Agent or any assignment of rights by, or the replacement of, a Lender, and the termination of this Agreement and the payment of the Loans and all other amounts payable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2.10    </w:t>
      </w:r>
      <w:r>
        <w:rPr>
          <w:rFonts w:ascii="Times New Roman" w:hAnsi="Times New Roman"/>
          <w:caps w:val="false"/>
          <w:smallCaps w:val="false"/>
          <w:sz w:val="20"/>
          <w:u w:val="single"/>
        </w:rPr>
        <w:t>Increased Costs and Reduced Return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If any Secured Party shall have determined that any Change in Law shall (i) subject such Secured Party, or any Person controlling such Secured Party to any Taxes (other than (A) Indemnified Taxes, (B) Taxes described in clauses (b) through (d) of the definition of Excluded Taxes or (C) Other Connection Taxes that are imposed on or measured by net income (however denominated) or that are franchise Taxes or branch profits Taxes) with respect to this Agreement or any Loan made by such Agent or such Lender, (ii) impose, modify or deem applicable any reserve, special deposit or similar requirement against any Loan or against assets of or held by, or deposits with or for the account of, or credit extended by, such Secured Party or any Person controlling such Secured Party or any Person controlling such Secured Party or (iii) impose on such Secured Party or any Person controlling such Secured Party any other condition regarding this Agreement or any Loan, and the result of any event referred to in clauses (i), (ii) or (iii) above shall be to increase the cost to such Secured Party of making any Loan or agreeing to make any Loan or to reduce any amount received or receivable by such Secured Party hereunder, then, upon written demand (including documentation reasonably supporting such request) by such Secured Party, the Borrowers shall pay to such Secured Party such additional amounts as will compensate such Secured Party for such increased costs or reductions in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If any Secured Party shall have determined that any Change in Law either (i) affects the amount of capital required or expected to be maintained by such Secured Party or any Person controlling such Secured Party, and such Secured Party determines that the amount of such capital is increased as a direct or indirect consequence of any Loans made or maintained, such Secured Party’s or such other controlling Person’s other obligations hereunder, or (ii) has or would have the effect of reducing the rate of return on such Secured Party’s or such other controlling Person’s capital to a level below that which such Secured Party or such controlling Person could have achieved but for such circumstances as a consequence of any Loans hereunder made or maintained, or any agreement to make Loans, or any guaranty or participation with respect thereto, such Secured Party's or such other controlling Person’s other obligations hereunder, or (ii) has or would have the effect of reducing the rate of return on such Secured Party's or such other controlling Person's capital to a level below that which such Secured Party or such controlling Person could have achieved but for such circumstances as a consequence of any Loans made or maintained or any agreement to make Loans or such Secured Party’s or such other controlling Person’s other obligations hereunder (in each case, taking into consideration, such Secured Party’s or such other controlling Person’s policies with respect to capital adequacy), then, the Borrowers shall promptly following written demand pay to such Secured Party from time to time such additional amounts as will compensate such Secured Party for such cost of maintaining such increased capital or such reduction in the rate of return on such Secured Party’s or such other controlling Person’s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All amounts payable under this Section 2.10 shall bear interest from the date that is 15 days after the date of written demand by any Secured Party until payment in full to such Secured Party at the Reference Rate. A certificate of such Secured Party claiming compensation under this Section 2.10, specifying the event herein above described and the nature of such event shall be submitted by such Secured Party to the Administrative Borrower, setting forth the additional amount due and an explanation of the calculation thereof, and such Secured Party’s reasons for invoking the provisions of this Section 2.10, and shall be final and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Failure or delay on the part of any Lender to demand compensation pursuant to the foregoing provisions of this Section 2.10 shall not constitute a waiver of such Lender’s right to demand such compensation;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Borrowers shall not be required to compensate a Lender pursuant to the foregoing provisions of this Section 2.10 for any increased costs incurred or reductions suffered more than six (6) months prior to the date that such Lender notifies the Administrative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The obligations of the Loan Parties under this Section 2.10 shall survive the termination of this Agreement and the payment of the Loans and all other amounts payable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br/>
        <w:br/>
      </w:r>
      <w:r>
        <w:rPr>
          <w:rFonts w:ascii="Times New Roman" w:hAnsi="Times New Roman"/>
          <w:b/>
          <w:caps w:val="false"/>
          <w:smallCaps w:val="false"/>
          <w:sz w:val="20"/>
        </w:rPr>
        <w:t>[RESERVED]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br/>
        <w:br/>
        <w:t>    </w:t>
      </w:r>
      <w:r>
        <w:rPr>
          <w:rFonts w:ascii="Times New Roman" w:hAnsi="Times New Roman"/>
          <w:b/>
          <w:caps w:val="false"/>
          <w:smallCaps w:val="false"/>
          <w:sz w:val="20"/>
        </w:rPr>
        <w:t>APPLICATION OF PAYMENTS; DEFAULTING LENDERS; JOINT AND SEVERAL LIABILITY OF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4.01    </w:t>
      </w:r>
      <w:r>
        <w:rPr>
          <w:rFonts w:ascii="Times New Roman" w:hAnsi="Times New Roman"/>
          <w:caps w:val="false"/>
          <w:smallCaps w:val="false"/>
          <w:sz w:val="20"/>
          <w:u w:val="single"/>
        </w:rPr>
        <w:t>Payments; Computations and Statements</w:t>
      </w:r>
      <w:r>
        <w:rPr>
          <w:rFonts w:ascii="Times New Roman" w:hAnsi="Times New Roman"/>
          <w:caps w:val="false"/>
          <w:smallCaps w:val="false"/>
          <w:sz w:val="20"/>
        </w:rPr>
        <w:t>. (a) The Borrowers will make each payment under this Agreement not later than 2:00 p.m. (New York City time) on the day when due, in lawful money of the United States of America and in immediately available funds, to the Administrative Agent’s Account. All payments received by the Administrative Agent after 2:00 p.m. (New York City time) on any Business Day may, in the Administrative Agent’s discretion, be credited to the Administrative Agent’s Account on the next succeeding Business Day. All payments shall be made by the Borrowers without set-off, counterclaim, recoupment, deduction or other defense to the Agents and the Lenders. Except as provided in Section 2.02, after receipt, the Administrative Agent will promptly thereafter cause to be distributed like funds relating to the payment of principal ratably to the Lenders in accordance with their Pro Rata Shares and like funds relating to the payment of any other amount payable to any Lender to such Lender, in each case to be applied in accordance with the terms of this Agreement. Whenever any payment to be made under any such Loan Document shall be stated to be due on a day other than a Business Day, such payment shall be made on the next succeeding Business Day and such extension of time shall in such case be included in the computation of interest or fees, as the case may be. All computations of fees shall be made by the Administrative Agent on the basis of a year of 360 days for the actual number of days. Each determination by the Administrative Agent of an interest rate or fees hereunder shall be conclusive and binding for all purposes in the absence of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Administrative Agent shall provide the Administrative Borrower, promptly after the end of each calendar month, a summary statement (in the form from time to time used by the Administrative Agent) of the opening and closing daily balances in the Administrative Agent’s Account of the Borrowers during such month, the amounts and dates of all Loans made to the Borrowers during such month, the amounts and dates of all payments on account of the Loans to the Borrowers during such month and the Loans to which such payments were applied, the amount of interest accrued on the Loans to the Borrowers during such month and the amount and nature of any charges to the Loan Account made during such month on account of fees, commissions, expenses and other Obligations. All entries on any such statement shall be presumed to be correct and, 30 days after the same is sent, shall be final and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4.02    </w:t>
      </w:r>
      <w:r>
        <w:rPr>
          <w:rFonts w:ascii="Times New Roman" w:hAnsi="Times New Roman"/>
          <w:caps w:val="false"/>
          <w:smallCaps w:val="false"/>
          <w:sz w:val="20"/>
          <w:u w:val="single"/>
        </w:rPr>
        <w:t>Sharing of Payments</w:t>
      </w:r>
      <w:r>
        <w:rPr>
          <w:rFonts w:ascii="Times New Roman" w:hAnsi="Times New Roman"/>
          <w:caps w:val="false"/>
          <w:smallCaps w:val="false"/>
          <w:sz w:val="20"/>
        </w:rPr>
        <w:t xml:space="preserve">. Except as provided herein, if any Lender shall obtain any payment (whether voluntary, involuntary, through the exercise of any right of set-off, or otherwise) on account of any Obligation in excess of its ratable share of payments on account of similar obligations obtained by all the Lenders, such Lender shall forthwith purchase from the other Lenders such participations in such similar obligations held by them as shall be necessary to cause such purchasing Lender to share the excess payment ratably with each of them;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(a) if all or any portion of such excess payment is thereafter recovered from such purchasing Lender, such purchase from each Lender shall be rescinded and each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by the purchasing Lender in respect of the total amount so recovered and (b) the provisions of this Section shall not be construed to apply to (i) any payment made by the Borrowers pursuant to and in accordance with the express terms of this Agreement (including the application of funds arising from the existence of a Defaulting Lender and any payment of an amendment, consent or waiver fee to consenting Lenders pursuant to an effective amendment, consent or waiver with respect to this Agreement), (ii) any payment obtained by a Lender as consideration for the assignment of or sale of a participation in any of its Loans to any assignee or participant, other than to any Loan Party or any Subsidiary thereof (as to which the provisions of this Section shall apply) or (iii) amounts payable pursuant to the Fee Letters. The Borrowers agree that any Lender so purchasing a participation from another Lender pursuant to this Section may, to the fullest extent permitted by law, exercise all of its rights (including the Lender’s right of set-off) with respect to such participation as fully as if such Lender were the direct creditor of the Borrowers in the amount of such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4.03    </w:t>
      </w:r>
      <w:r>
        <w:rPr>
          <w:rFonts w:ascii="Times New Roman" w:hAnsi="Times New Roman"/>
          <w:caps w:val="false"/>
          <w:smallCaps w:val="false"/>
          <w:sz w:val="20"/>
          <w:u w:val="single"/>
        </w:rPr>
        <w:t>Apportionment of Payments</w:t>
      </w:r>
      <w:r>
        <w:rPr>
          <w:rFonts w:ascii="Times New Roman" w:hAnsi="Times New Roman"/>
          <w:caps w:val="false"/>
          <w:smallCaps w:val="false"/>
          <w:sz w:val="20"/>
        </w:rPr>
        <w:t>. Subject to Section 2.02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All payments of principal and interest in respect of outstanding Loans, all payments of fees (other than the fees set forth in Section 2.06 hereof) and all other payments in respect of any other Obligations, shall be allocated by the Administrative Agent among such of the Lenders as are entitled thereto, in proportion to their respective Pro Rata Shares or otherwise as provided herein or, in respect of payments not made on account of Loans, as designated by the Person making payment when the payment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After the occurrence and during the continuance of an Event of Default, the Administrative Agent may, and upon the direction of the Collateral Agent or the Required Lenders, shall, apply all payments in respect of any Obligations, including without limitation, all proceeds of the Collateral, subject to the provisions of this Agreement and the Agreement Among Lenders, (i)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ratably to pay the Obligations in respect of any fees, expense reimbursements, indemnities and other amounts then due and payable to the Agents until paid in full; (ii)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to pay interest then due and payable in respect of the Collateral Agent Advances until paid in full; (iii) </w:t>
      </w:r>
      <w:r>
        <w:rPr>
          <w:rFonts w:ascii="Times New Roman" w:hAnsi="Times New Roman"/>
          <w:caps w:val="false"/>
          <w:smallCaps w:val="false"/>
          <w:sz w:val="20"/>
          <w:u w:val="single"/>
        </w:rPr>
        <w:t>third</w:t>
      </w:r>
      <w:r>
        <w:rPr>
          <w:rFonts w:ascii="Times New Roman" w:hAnsi="Times New Roman"/>
          <w:caps w:val="false"/>
          <w:smallCaps w:val="false"/>
          <w:sz w:val="20"/>
        </w:rPr>
        <w:t xml:space="preserve">, to pay principal of the Collateral Agent Advances until paid in full; (iv) </w:t>
      </w:r>
      <w:r>
        <w:rPr>
          <w:rFonts w:ascii="Times New Roman" w:hAnsi="Times New Roman"/>
          <w:caps w:val="false"/>
          <w:smallCaps w:val="false"/>
          <w:sz w:val="20"/>
          <w:u w:val="single"/>
        </w:rPr>
        <w:t>fourth</w:t>
      </w:r>
      <w:r>
        <w:rPr>
          <w:rFonts w:ascii="Times New Roman" w:hAnsi="Times New Roman"/>
          <w:caps w:val="false"/>
          <w:smallCaps w:val="false"/>
          <w:sz w:val="20"/>
        </w:rPr>
        <w:t xml:space="preserve">, ratably to pay the Obligations in respect of any fees (other than any Applicable Premium or Supplemental Premium), expense reimbursements, indemnities and other amounts (other than principal, interest and Obligations under Secured Hedge Agreements) then due and payable to the Lenders until paid in full; (v) </w:t>
      </w:r>
      <w:r>
        <w:rPr>
          <w:rFonts w:ascii="Times New Roman" w:hAnsi="Times New Roman"/>
          <w:caps w:val="false"/>
          <w:smallCaps w:val="false"/>
          <w:sz w:val="20"/>
          <w:u w:val="single"/>
        </w:rPr>
        <w:t>fifth</w:t>
      </w:r>
      <w:r>
        <w:rPr>
          <w:rFonts w:ascii="Times New Roman" w:hAnsi="Times New Roman"/>
          <w:caps w:val="false"/>
          <w:smallCaps w:val="false"/>
          <w:sz w:val="20"/>
        </w:rPr>
        <w:t xml:space="preserve">, ratably to pay interest then due and payable in respect of the Loans until paid in full; (vi) </w:t>
      </w:r>
      <w:r>
        <w:rPr>
          <w:rFonts w:ascii="Times New Roman" w:hAnsi="Times New Roman"/>
          <w:caps w:val="false"/>
          <w:smallCaps w:val="false"/>
          <w:sz w:val="20"/>
          <w:u w:val="single"/>
        </w:rPr>
        <w:t>sixth</w:t>
      </w:r>
      <w:r>
        <w:rPr>
          <w:rFonts w:ascii="Times New Roman" w:hAnsi="Times New Roman"/>
          <w:caps w:val="false"/>
          <w:smallCaps w:val="false"/>
          <w:sz w:val="20"/>
        </w:rPr>
        <w:t xml:space="preserve">, ratably to pay principal of the Loans and the Obligations under Secured Hedge Agreements among the Lenders in proportion to the respective amounts described in this clause (vi) held by them until paid in full; (vii) </w:t>
      </w:r>
      <w:r>
        <w:rPr>
          <w:rFonts w:ascii="Times New Roman" w:hAnsi="Times New Roman"/>
          <w:caps w:val="false"/>
          <w:smallCaps w:val="false"/>
          <w:sz w:val="20"/>
          <w:u w:val="single"/>
        </w:rPr>
        <w:t>seventh</w:t>
      </w:r>
      <w:r>
        <w:rPr>
          <w:rFonts w:ascii="Times New Roman" w:hAnsi="Times New Roman"/>
          <w:caps w:val="false"/>
          <w:smallCaps w:val="false"/>
          <w:sz w:val="20"/>
        </w:rPr>
        <w:t xml:space="preserve">, ratably to pay the Obligations in respect of any Applicable Premium or Supplemental Premium then due and payable to the Lenders until paid in full; and (xii) </w:t>
      </w:r>
      <w:r>
        <w:rPr>
          <w:rFonts w:ascii="Times New Roman" w:hAnsi="Times New Roman"/>
          <w:caps w:val="false"/>
          <w:smallCaps w:val="false"/>
          <w:sz w:val="20"/>
          <w:u w:val="single"/>
        </w:rPr>
        <w:t>eighth</w:t>
      </w:r>
      <w:r>
        <w:rPr>
          <w:rFonts w:ascii="Times New Roman" w:hAnsi="Times New Roman"/>
          <w:caps w:val="false"/>
          <w:smallCaps w:val="false"/>
          <w:sz w:val="20"/>
        </w:rPr>
        <w:t>, to the ratable payment of all other Obligations then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For purposes of Section 4.03(b) “paid in full” means payment in cash of all amounts owing under the Loan Documents according to the terms thereof, including the Applicable Premium or Supplemental Premium,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 (but excluding any payment on account of Contingent Indemnity Obligations not then due and 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In the event of a direct conflict between the priority provisions of this Section 4.03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this Section 4.03 shall control and govern.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4.04    </w:t>
      </w:r>
      <w:r>
        <w:rPr>
          <w:rFonts w:ascii="Times New Roman" w:hAnsi="Times New Roman"/>
          <w:caps w:val="false"/>
          <w:smallCaps w:val="false"/>
          <w:sz w:val="20"/>
          <w:u w:val="single"/>
        </w:rPr>
        <w:t>Defaulting Lenders</w:t>
      </w:r>
      <w:r>
        <w:rPr>
          <w:rFonts w:ascii="Times New Roman" w:hAnsi="Times New Roman"/>
          <w:caps w:val="false"/>
          <w:smallCaps w:val="false"/>
          <w:sz w:val="20"/>
        </w:rPr>
        <w:t>. Notwithstanding anything to the contrary contained in this Agreement, if any Lender (other than any Agent, its Affiliates or Related Funds) becomes a Defaulting Lender, then, until such time as such Lender is no longer a Defaulting Lender, to the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Such Defaulting Lender’s right to approve or disapprove any amendment, waiver or consent with respect to this Agreement shall be restricted as set forth in Section 12.02.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Administrative Agent shall not be obligated to transfer to such Defaulting Lender any payments made by any Borrower to the Administrative Agent for such Defaulting Lender’s benefit, and, in the absence of such transfer to such Defaulting Lender, the Administrative Agent shall transfer any such payments to each other non-Defaulting Lender ratably in accordance with their Pro Rata Shares (without giving effect to the Pro Rata Shares of such Defaulting Lender) (but only to the extent that such Defaulting Lender’s Loans were funded by the other Lenders) or, if so directed by the Administrative Borrower and if no Event of Default has occurred and is continuing (and to the extent such Defaulting Lender’s Loans were not funded by the other Lenders), retain the same to be re-advanced to the Borrowers as if such Defaulting Lender had made such Loans to the Borrowers. Subject to the foregoing, the Administrative Agent may hold and, in its discretion, re-lend to the Borrowers for the account of such Defaulting Lender the amount of all such payments received and retained by the Administrative Agent for the account of such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operation of this Section shall not be construed to increase or otherwise affect the Commitments of any Lender, to relieve or excuse the performance by such Defaulting Lender or any other Lender of its duties and obligations hereunder, or to relieve or excuse the performance by any Borrower of its duties and obligations hereunder to the Administrative Agent or to the Lenders other than such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This Section shall remain effective with respect to such Lender until either (i) the Obligations under this Agreement shall have been declared or shall have become immediately due and payable or (ii) the non-Defaulting Lenders, the Agents, and the Borrowers shall have waived such Defaulting Lender’s default in writing, and the Defaulting Lender makes its Pro Rata Share of the applicable defaulted Loans and pays to the Agents all amounts owing by such Defaulting Lender in respect thereof;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adjustments will be made retroactively with respect to fees accrued or payments made by or on behalf of the Borrowers while such Lender was a Defaulting Lender;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4.05    </w:t>
      </w:r>
      <w:r>
        <w:rPr>
          <w:rFonts w:ascii="Times New Roman" w:hAnsi="Times New Roman"/>
          <w:caps w:val="false"/>
          <w:smallCaps w:val="false"/>
          <w:sz w:val="20"/>
          <w:u w:val="single"/>
        </w:rPr>
        <w:t>Administrative Borrower; Joint and Several Liability of the Borrowers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Borrower hereby irrevocably appoints the Administrative Borrower as the borrowing agent and attorney-in-fact for the Borrowers which appointment shall remain in full force and effect unless and until the Agents shall have received prior written notice signed by all of the Borrowers that such appointment has been revoked and that another Borrower has been appointed Administrative Borrower. Each Borrower hereby irrevocably appoints and authorizes the Administrative Borrower (i) to provide to the Agents and receive from the Agents all notices with respect to Loans obtained for the benefit of any Borrower and all other notices and instructions under this Agreement and (ii) to take such action as the Administrative Borrower deems appropriate on its behalf to obtain Loans and to exercise such other powers as are incidental thereto to carry out the purposes of this Agreement. Each Borrower expects to derive benefit, directly or indirectly, from the handling of the Loan Account and the Collateral in a combined fashion since the successful operation of each Borrower is dependent on the continued successful performance of the integrated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Each Borrower hereby accepts joint and several liability hereunder and under the other Loan Documents in consideration of the financial accommodations to be provided by the Agents and the Lenders under this Agreement and the other Loan Documents, for the mutual benefit, directly and indirectly, of each of the Borrowers and in consideration of the undertakings of the other Borrowers to accept joint and several liability for the Obligations. Each of the Borrowers, jointly and severally, hereby irrevocably and unconditionally accepts, not merely as a surety but also as a co-debtor, joint and several liability with the other Borrowers, with respect to the payment and performance of all of the Obligations (including, without limitation, any Obligations arising under this Section 4.05), it being the intention of the parties hereto that all of the Obligations shall be the joint and several obligations of each of the Borrowers without preferences or distinction among them. If and to the extent that any of the Borrowers shall fail to make any payment with respect to any of the Obligations as and when due or to perform any of the Obligations in accordance with the terms thereof, then in each such event, the other Borrowers will make such payment with respect to, or perform, such Obligation. Subject to the terms and conditions hereof, the Obligations of each of the Borrowers under the provisions of this Section 4.05 constitute the absolute and unconditional, full recourse Obligations of each of the Borrowers, enforceable against each such Person to the full extent of its properties and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provisions of this Section 4.05 are made for the benefit of the Agents, the Lenders and their permitted successors and assigns, and may be enforced by them from time to time against any or all of the Borrowers as often as occasion therefor may arise and without requirement on the part of the Agents, the Lenders or such successors or assigns first to marshal any of its or their claims or to exercise any of its or their rights against any of the other Borrowers or to exhaust any remedies available to it or them against any of the other Borrowers or to resort to any other source or means of obtaining payment of any of the Obligations hereunder or to elect any other remedy. The provisions of this Section 4.05 shall remain in effect until all of the Obligations (other than Contingent Indemnity Obligations not then due and payable) shall have been paid in full in cash or otherwise fully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Each of the Borrowers hereby agrees that it will not enforce any of its rights of contribution or subrogation against the other Borrowers with respect to any liability incurred by it hereunder or under any of the other Loan Documents, any payments made by it to the Agents or the Lenders with respect to any of the Obligations or any Collateral, until such time as all of the Obligations (other than Contingent Indemnity Obligations not then due and payable) have been paid in full in cash or otherwise fully satisfied. Any claim which any Borrower may have against any other Borrower with respect to any payments to the Agents or the Lenders hereunder or under any other Loan Documents are hereby expressly made subordinate and junior in right of payment, without limitation as to any increases in the Obligations arising hereunder or thereunder, to the prior payment in full in cash or other full satisfaction of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br/>
        <w:br/>
      </w:r>
      <w:r>
        <w:rPr>
          <w:rFonts w:ascii="Times New Roman" w:hAnsi="Times New Roman"/>
          <w:b/>
          <w:caps w:val="false"/>
          <w:smallCaps w:val="false"/>
          <w:sz w:val="20"/>
        </w:rPr>
        <w:t>CONDITIONS TO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5.01    </w:t>
      </w:r>
      <w:r>
        <w:rPr>
          <w:rFonts w:ascii="Times New Roman" w:hAnsi="Times New Roman"/>
          <w:caps w:val="false"/>
          <w:smallCaps w:val="false"/>
          <w:sz w:val="20"/>
          <w:u w:val="single"/>
        </w:rPr>
        <w:t>Conditions Precedent to Effectiveness</w:t>
      </w:r>
      <w:r>
        <w:rPr>
          <w:rFonts w:ascii="Times New Roman" w:hAnsi="Times New Roman"/>
          <w:caps w:val="false"/>
          <w:smallCaps w:val="false"/>
          <w:sz w:val="20"/>
        </w:rPr>
        <w:t>. This Agreement shall become effective as of the Business Day (the “</w:t>
      </w:r>
      <w:r>
        <w:rPr>
          <w:rFonts w:ascii="Times New Roman" w:hAnsi="Times New Roman"/>
          <w:caps w:val="false"/>
          <w:smallCaps w:val="false"/>
          <w:sz w:val="20"/>
          <w:u w:val="single"/>
        </w:rPr>
        <w:t>Effective Date</w:t>
      </w:r>
      <w:r>
        <w:rPr>
          <w:rFonts w:ascii="Times New Roman" w:hAnsi="Times New Roman"/>
          <w:caps w:val="false"/>
          <w:smallCaps w:val="false"/>
          <w:sz w:val="20"/>
        </w:rPr>
        <w:t>”) when each of the following conditions precedent shall have been satisfied or waived in a manner reasonably satisfactory to the Agents (and the funding of the Term Loans on the Effective Date shall evidence the satisfaction of each of the conditions set forth in this Section 5.01):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Payment of Fees, Etc.</w:t>
      </w:r>
      <w:r>
        <w:rPr>
          <w:rFonts w:ascii="Times New Roman" w:hAnsi="Times New Roman"/>
          <w:caps w:val="false"/>
          <w:smallCaps w:val="false"/>
          <w:sz w:val="20"/>
        </w:rPr>
        <w:t xml:space="preserve"> The Borrowers shall have paid on or before the Effective Date all reasonable and documented out-of-pocket fees, costs and expenses then earned, due and payable pursuant to Section 2.06 and Section 12.04 to the extent invoiced at least one Business Day prior to the Effective Date (which amounts may be funded with the proceeds of the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Representations and Warranties; No Event of Default</w:t>
      </w:r>
      <w:r>
        <w:rPr>
          <w:rFonts w:ascii="Times New Roman" w:hAnsi="Times New Roman"/>
          <w:caps w:val="false"/>
          <w:smallCaps w:val="false"/>
          <w:sz w:val="20"/>
        </w:rPr>
        <w:t>. The following statements shall be true and correct: (i) the representations and warranties contained in Article VI and in each other Loan Document, certificate or other writing delivered to any Secured Party pursuant hereto or thereto on or prior to the Effective Date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the Effective Date as though made on and as of such date, except to the extent that any such representation or warranty expressly relates solely to an earlier date (in which case such representation or warranty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 (ii) no Default or Event of Default shall have occurred and be continuing on the Effective Date or would result from this Agreement or the other Loan Documents becoming effective in accordance with its or their respective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Legality</w:t>
      </w:r>
      <w:r>
        <w:rPr>
          <w:rFonts w:ascii="Times New Roman" w:hAnsi="Times New Roman"/>
          <w:caps w:val="false"/>
          <w:smallCaps w:val="false"/>
          <w:sz w:val="20"/>
        </w:rPr>
        <w:t>. The making of the initial Loans shall not contravene any law, rule or regulation applicable to any Secured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Delivery of Documents</w:t>
      </w:r>
      <w:r>
        <w:rPr>
          <w:rFonts w:ascii="Times New Roman" w:hAnsi="Times New Roman"/>
          <w:caps w:val="false"/>
          <w:smallCaps w:val="false"/>
          <w:sz w:val="20"/>
        </w:rPr>
        <w:t>. The Agents shall have received on or before the Effective Date the following, each in form and substance reasonably satisfactory to the Collateral Agent and, unless indicated otherwise, dated the Effective Date and, if applicable, duly executed by the Persons party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Security Agreement, together with the original stock certificates representing all of the certificated Equity Interests and all promissory notes required to be pledged thereunder, accompanied by undated stock powers executed in blank and other proper instruments of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results of searches for any effective UCC financing statements, tax Liens or judgment Liens filed against any Loan Party or its property, which results shall not show any such Liens (other than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a Perfection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the Fee Letters;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the Intercompany Subordination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    each Intellectual Property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(viii)    the Equity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(ix)    a Notice of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    a certificate of an Authorized Officer of each Loan Party, certifying (A) as to copies of the Governing Documents of such Loan Party, together with all amendments thereto (including, without limitation, a true and complete copy of the charter, certificate of formation (or the equivalent in another jurisdiction), certificate of limited partnership, internal registers (if any), business registration certificate (if any) and/ or other publicly filed organizational document of each Loan Party certified as of a recent date not more than 30 days prior to the Effective Date by an appropriate official of the jurisdiction of organization of such Loan Party which shall set forth the same complete name of such Loan Party as is set forth herein and the organizational number of such Loan Party, if an organizational number is issued in such jurisdiction), (B) as to a copy of the resolutions or written consents of such Loan Party authorizing (1) the borrowings hereunder, in the case of the Borrowers (or the guaranteeing and/or securing (as applicable) hereunder, in the case of a Guarantor),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including, without limitation, in the case of the Administrative Borrower, the Warrants, (C) (if applicable) as to a Guarantor, a copy of the resolutions signed by all holders of the issued shares in such Guarantor, approving the terms of, and the transaction contemplated by each Loan Document to which such Loan Party is or will be a party, (D) (if applicable) as to a Guarantor, the guaranteeing or securing, as appropriate, of the Obligations hereunder would not cause any guarantee, security or similar limit binding on such Guarantor to be exceeded, (E) the names and true signatures of the representatives of such Loan Party authorized to sign each Loan Document (in the case of a Borrower, including, without limitation, Notices of Borrowing, SOFR Notices and all other notices under this Agreement and the other Loan Documents) to which such Loan Party is or will be a party and the other documents to be executed and delivered by such Loan Party in connection herewith and therewith, together with evidence of the incumbency of such authorized officers and (F) as to the matters set forth in Section 5.01(b);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(xii)    a certificate of an Authorized Officer of the Administrative Borrower, certifying that the Loan Parties and their subsidiaries (taken as a whole) (after giving effect to the Loans made on the Effective Date) are 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(xiii)    a certificate of an Authorized Officer of the Administrative Borrower certifying all Material Contracts remain in full force and effect and that, to the best knowledge of any Loan Party, none of the Loan Parties has breached or defaulted in any of its material obligations under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(xiv)    a certificate (if applicable) of the appropriate official(s) of the jurisdiction of organization certifying as of a recent date not more than 30 days prior to the Effective Date as to the subsistence in good standing (or equivalent) of, and the payment of franchise or similar taxes (if applicable) by, such Loan Party in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    a customary opinion of (a) Davis Polk and Wardwell LLP, counsel to the Loan Parties and (b) Morris, Nichols, Arsht &amp; Tunnell LLP, Delaware counsel to the Loan Parties, in each case, dated as of the Effective Date, addressed to the Administrative Agent and the Lenders, and in form and substance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    the extent requested in writing at least ten Business Days prior to the Effective Date, the Agents and the Lenders shall have received, at least three Business Days prior to the Effective Date, all documentation and other information, including a duly executed IRS Form W-9 (or other applicable tax form) for each of the Loan Parties, required by regulatory authorities under applicable “know your customer” and anti-money laundering rules and regulations, including, without limitation, the USA PATRIOT Act, in each case, that has been requested by any Agent or any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(xvii)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(xviii)    the Agreement Among Lenders;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(xix)    each other Security Document, other than any Security Document to be delivered pursuant to Section 5.04.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Closing Leverage</w:t>
      </w:r>
      <w:r>
        <w:rPr>
          <w:rFonts w:ascii="Times New Roman" w:hAnsi="Times New Roman"/>
          <w:caps w:val="false"/>
          <w:smallCaps w:val="false"/>
          <w:sz w:val="20"/>
        </w:rPr>
        <w:t>. The Administrative Agent and the Servicing Agent shall have received a certificate of an Authorized Officer of the Administrative Borrower certifying that, immediately after giving effect to the Transactions, the Total Leverage Ratio shall not exceed 5.21:1.00, calculated on a pro forma basis using a deemed Consolidated EBITDA amount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Approvals</w:t>
      </w:r>
      <w:r>
        <w:rPr>
          <w:rFonts w:ascii="Times New Roman" w:hAnsi="Times New Roman"/>
          <w:caps w:val="false"/>
          <w:smallCaps w:val="false"/>
          <w:sz w:val="20"/>
        </w:rPr>
        <w:t>. All material consents, authorizations and approvals of Permits, and filings and registrations with, and all other actions in respect of, any Governmental Authority or other Person required in connection with the making of the Loans shall have been obtained and shall be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Proceedings; Receipt of Documents</w:t>
      </w:r>
      <w:r>
        <w:rPr>
          <w:rFonts w:ascii="Times New Roman" w:hAnsi="Times New Roman"/>
          <w:caps w:val="false"/>
          <w:smallCaps w:val="false"/>
          <w:sz w:val="20"/>
        </w:rPr>
        <w:t>. All proceedings in connection with the making of the initial Loans and the other transactions contemplated by this Agreement and the other Loan Documents, and all documents incidental hereto and thereto, shall be reasonably satisfactory to the Collateral Agent and its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Borrowing Base Certificate</w:t>
      </w:r>
      <w:r>
        <w:rPr>
          <w:rFonts w:ascii="Times New Roman" w:hAnsi="Times New Roman"/>
          <w:caps w:val="false"/>
          <w:smallCaps w:val="false"/>
          <w:sz w:val="20"/>
        </w:rPr>
        <w:t>. The Servicing Agent shall have received a Borrowing Base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Security Interests</w:t>
      </w:r>
      <w:r>
        <w:rPr>
          <w:rFonts w:ascii="Times New Roman" w:hAnsi="Times New Roman"/>
          <w:caps w:val="false"/>
          <w:smallCaps w:val="false"/>
          <w:sz w:val="20"/>
        </w:rPr>
        <w:t>. Subject to Section 5.04 and Section 7.01(q), the Loan Documents shall create in favor of the Collateral Agent, for the benefit of the Secured Parties, a legal, valid and enforceable first priority security interest in the Collateral secured thereby (subject only to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Due Diligence</w:t>
      </w:r>
      <w:r>
        <w:rPr>
          <w:rFonts w:ascii="Times New Roman" w:hAnsi="Times New Roman"/>
          <w:caps w:val="false"/>
          <w:smallCaps w:val="false"/>
          <w:sz w:val="20"/>
        </w:rPr>
        <w:t>. The Agents shall have completed their business, legal and collateral due diligence with respect to each Loan Party and the results thereof shall be acceptable to the Agents, in their sole and absolute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Payoff</w:t>
      </w:r>
      <w:r>
        <w:rPr>
          <w:rFonts w:ascii="Times New Roman" w:hAnsi="Times New Roman"/>
          <w:caps w:val="false"/>
          <w:smallCaps w:val="false"/>
          <w:sz w:val="20"/>
        </w:rPr>
        <w:t>. Prior to or substantially concurrently with the making of the Loans on the Effective Date, (x) all outstanding indebtedness of the Loan Parties pursuant to the Existing Credit Agreement and all other documents entered into pursuant to or in connection with such indebtedness, shall have been discharged, terminated, and released in full and all liens and guarantees in respect thereof shall have been discharged, terminated, and released in full, and the Administrative Agent (or their counsel) shall have received customary payoff letters, UCC-3 termination statements, intellectual property releases, control agreement terminations and other customary release documents with respect to all liens securing such facilities, in each case, in form and substance reasonably acceptable to the Administrative Agent; (y) the Administrative Borrower shall have entered into Exchange Agreements (copies of which shall have been delivered to the Administrative Agent and the Servicing Agent) providing for the exchange, termination, cancelation, extinguishment or satisfaction of the Existing Notes with (or for, as applicable) the proceeds of the Escrow Payment and Equity Issuances of the Administrative Borrower (the “</w:t>
      </w:r>
      <w:r>
        <w:rPr>
          <w:rFonts w:ascii="Times New Roman" w:hAnsi="Times New Roman"/>
          <w:caps w:val="false"/>
          <w:smallCaps w:val="false"/>
          <w:sz w:val="20"/>
          <w:u w:val="single"/>
        </w:rPr>
        <w:t>Existing Notes Equity Issuances</w:t>
      </w:r>
      <w:r>
        <w:rPr>
          <w:rFonts w:ascii="Times New Roman" w:hAnsi="Times New Roman"/>
          <w:caps w:val="false"/>
          <w:smallCaps w:val="false"/>
          <w:sz w:val="20"/>
        </w:rPr>
        <w:t xml:space="preserve">”) following the consummation of the Exchanges (as defined in the relevant Exchange Agreement) in the time and manner specified therein; </w:t>
      </w:r>
      <w:r>
        <w:rPr>
          <w:rFonts w:ascii="Times New Roman" w:hAnsi="Times New Roman"/>
          <w:i/>
          <w:caps w:val="false"/>
          <w:smallCaps w:val="false"/>
          <w:sz w:val="20"/>
        </w:rPr>
        <w:t>provided</w:t>
      </w:r>
      <w:r>
        <w:rPr>
          <w:rFonts w:ascii="Times New Roman" w:hAnsi="Times New Roman"/>
          <w:caps w:val="false"/>
          <w:smallCaps w:val="false"/>
          <w:sz w:val="20"/>
        </w:rPr>
        <w:t xml:space="preserve"> that no more than $18,000,000 aggregate principal amount of Indebtedness under the Existing Notes may remain outstanding following the consummation of the Exchanges (as defined in the relevant Exchange Agreements); and (z) the Borrower and each of its Subsidiaries shall not have any outstanding Indebtedness other than Indebtedness permitted hereunder or Indebtedness repaid in full on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Lender Board Appointee</w:t>
      </w:r>
      <w:r>
        <w:rPr>
          <w:rFonts w:ascii="Times New Roman" w:hAnsi="Times New Roman"/>
          <w:caps w:val="false"/>
          <w:smallCaps w:val="false"/>
          <w:sz w:val="20"/>
        </w:rPr>
        <w:t>. The TCW Director (as defined in the Governance Agreement) shall have been appointed in accordance with the Governance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Board Observers</w:t>
      </w:r>
      <w:r>
        <w:rPr>
          <w:rFonts w:ascii="Times New Roman" w:hAnsi="Times New Roman"/>
          <w:caps w:val="false"/>
          <w:smallCaps w:val="false"/>
          <w:sz w:val="20"/>
        </w:rPr>
        <w:t>. The Observers shall have been appointed in accordance with Section 7.01(p).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5.02    </w:t>
      </w:r>
      <w:r>
        <w:rPr>
          <w:rFonts w:ascii="Times New Roman" w:hAnsi="Times New Roman"/>
          <w:caps w:val="false"/>
          <w:smallCaps w:val="false"/>
          <w:sz w:val="20"/>
          <w:u w:val="single"/>
        </w:rPr>
        <w:t>Conditions Precedent to Delayed Draw Term Loan</w:t>
      </w:r>
      <w:r>
        <w:rPr>
          <w:rFonts w:ascii="Times New Roman" w:hAnsi="Times New Roman"/>
          <w:caps w:val="false"/>
          <w:smallCaps w:val="false"/>
          <w:sz w:val="20"/>
        </w:rPr>
        <w:t>. After the Effective Date, the obligation of each Delayed Draw Term Lender to make a Delayed Draw Term Loan is subject solely to the satisfaction (or waiver by the Delayed Draw Term Lenders that are proposed to fund the requested Delayed Draw Term Loans)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Administrative Agent shall have received a Notice of Borrowing pursuant to Section 2.02 hereof, including a certification as to Section 5.02(b) and (g).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At the time of and after giving effect to the making of such Delayed Draw Term Loan and the application of the proceeds thereof, no Default or Event of Default has occurred and is continuing or would result from the making of the Delayed Draw Term Loan to be made, on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Delayed Draw Term Lenders that are proposed to fund the requested Delayed Draw Term Loans shall have consented to the funding of such Delayed Draw Term Loans in their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The Administrative Agent shall have received the financial statements of the Administrative Borrower and its Subsidiaries required to be delivered pursuant to Section 7.01(a)(ii) for the Fiscal Quarter ending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With respect to Delayed Draw Term Loans funded on or after the Amendment No. 3 Effective Date, the Administrative Agent shall have received the DDTL Penny Warrants entitling the Holder (as defined therein) to purchase a number of shares of common stock of the Administrative Borrower equal to the product obtained by multiplying (A) (1) the aggregate principal amount of the Delayed Draw Term Loan divided by (2) $5,000,000, by (B) 0.5% of the number of fully diluted shares of common stock of the Administrative Borrower outstanding, measured as of the date such Delayed Draw Term Loan is incurred, rounded to the nearest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The Borrowers shall have paid (i) all fees required to be paid to the Delayed Draw Lenders including pursuant to the Fee Letters and (ii) all reasonable and documented out-of-pocket fees, costs and expenses then earned, due and payable pursuant to Section 2.06 and Section 12.04 to the extent invoiced at least one Business Day prior to the date upon which the Delayed Draw Term Loan is to be made (which amounts may be funded with the proceeds of the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The aggregate amount of gross accounts receivable owed by the Chinese Joint Venture to the Loan Parties or any of their Subsidiaries, and that are outstanding for more than 60 days after the date such receivable was due, shall not exceed $20,000,000 as of the date of the applicable Notice of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5.03    </w:t>
      </w:r>
      <w:r>
        <w:rPr>
          <w:rFonts w:ascii="Times New Roman" w:hAnsi="Times New Roman"/>
          <w:caps w:val="false"/>
          <w:smallCaps w:val="false"/>
          <w:sz w:val="20"/>
          <w:u w:val="single"/>
        </w:rPr>
        <w:t>Conditions Precedent to Revolving Loans</w:t>
      </w:r>
      <w:r>
        <w:rPr>
          <w:rFonts w:ascii="Times New Roman" w:hAnsi="Times New Roman"/>
          <w:caps w:val="false"/>
          <w:smallCaps w:val="false"/>
          <w:sz w:val="20"/>
        </w:rPr>
        <w:t>. The obligation of any Agent or any Lender to make any Revolving Loan after the Effective Date is subject to the fulfillment, in a manner satisfactory to the Administrative Agent and the Servicing Agent, of each of the following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Representations and Warranties; No Event of Default</w:t>
      </w:r>
      <w:r>
        <w:rPr>
          <w:rFonts w:ascii="Times New Roman" w:hAnsi="Times New Roman"/>
          <w:caps w:val="false"/>
          <w:smallCaps w:val="false"/>
          <w:sz w:val="20"/>
        </w:rPr>
        <w:t>. The following statements shall be true and correct, and the submission by the Administrative Borrower to the Administrative Agent (with a copy of such notice to the Servicing Agent) of a Notice of Borrowing with respect to each such Loan, and the Borrowers’ acceptance of the proceeds of such Loan, shall each be deemed to be a representation and warranty by each Loan Party on the date of such Loan that: (i) the representations and warranties contained in Article VI and in each other Loan Document, certificate or other writing delivered to any Secured Party pursuant hereto or thereto on or prior to the date of such Loan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date as though made on and as of such date, except to the extent that any such representation or warranty expressly relates solely to an earlier date (in which case such representation or warranty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(ii) at the time of and after giving effect to the making of such Loan and the application of the proceeds thereof, no Default or Event of Default has occurred and is continuing or would result from the making of the Loan to be made, on such date, (iii) in the case of Revolving Loans only, after giving effect to such Borrowing, the aggregate principal amount of all Revolving Loans would not exceed the lesser of (x) the then-applicable Borrowing Base or (y) Total Revolving Credit Commitment and (iv) the conditions set forth in this Section 5.03 have been satisfied as of the date of such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Notices</w:t>
      </w:r>
      <w:r>
        <w:rPr>
          <w:rFonts w:ascii="Times New Roman" w:hAnsi="Times New Roman"/>
          <w:caps w:val="false"/>
          <w:smallCaps w:val="false"/>
          <w:sz w:val="20"/>
        </w:rPr>
        <w:t>. The Administrative Agent shall have received a Notice of Borrowing (with a copy of such notice to the Servicing Agent) pursuant to Section 2.02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Availability</w:t>
      </w:r>
      <w:r>
        <w:rPr>
          <w:rFonts w:ascii="Times New Roman" w:hAnsi="Times New Roman"/>
          <w:caps w:val="false"/>
          <w:smallCaps w:val="false"/>
          <w:sz w:val="20"/>
        </w:rPr>
        <w:t>. After giving effect to any proposed Borrowing of Revolving Loan, Availability shall not be less than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5.04    </w:t>
      </w:r>
      <w:r>
        <w:rPr>
          <w:rFonts w:ascii="Times New Roman" w:hAnsi="Times New Roman"/>
          <w:caps w:val="false"/>
          <w:smallCaps w:val="false"/>
          <w:sz w:val="20"/>
          <w:u w:val="single"/>
        </w:rPr>
        <w:t>Conditions Subsequent to Effectiveness</w:t>
      </w:r>
      <w:r>
        <w:rPr>
          <w:rFonts w:ascii="Times New Roman" w:hAnsi="Times New Roman"/>
          <w:caps w:val="false"/>
          <w:smallCaps w:val="false"/>
          <w:sz w:val="20"/>
        </w:rPr>
        <w:t>. The Loan Parties agree that, in addition to all other terms, conditions and provisions set forth in this Agreement and the other Loan Documents, including, without limitation, those conditions set forth in Section 5.01, the Loan Parties shall satisfy each of the conditions subsequent set forth below on or before the date applicable thereto (it being understood that (i) the failure by the Loan Parties to perform or cause to be performed any such condition subsequent on or before the date applicable thereto shall constitute an Event of Default and (ii) to the extent that the existence of any such condition subsequent would otherwise cause any representation, warranty or covenant in this Agreement or any other Loan Document to be breached, the Required Lenders hereby waive such breach for the period from the Effective Date until the date on which such condition subsequent is required to be fulfilled pursuant to this Section 5.03):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Insurance Certificates and Endorsements</w:t>
      </w:r>
      <w:r>
        <w:rPr>
          <w:rFonts w:ascii="Times New Roman" w:hAnsi="Times New Roman"/>
          <w:caps w:val="false"/>
          <w:smallCaps w:val="false"/>
          <w:sz w:val="20"/>
        </w:rPr>
        <w:t>. Deliver to the Collateral Agent no later than (i) five Business Days after the Effective Date (as such date may be extended by the Collateral Agent and Servicing Agent in their reasonable discretion), customary insurance certificates evidencing that the insurance coverage required by Section 7.01 is in full force and effect, and (ii) 45 days after the Effective Date (as such date may be extended by the Collateral Agent and Servicing Agent in their reasonable discretion), insurance endorsements, in form and substance reasonably satisfactory to the Collateral Agent, with respect to additional insured, lender loss payable and notice endorsements relating to the Loan Parties’ insurance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Landlord Waivers; Collateral Access Agreements</w:t>
      </w:r>
      <w:r>
        <w:rPr>
          <w:rFonts w:ascii="Times New Roman" w:hAnsi="Times New Roman"/>
          <w:caps w:val="false"/>
          <w:smallCaps w:val="false"/>
          <w:sz w:val="20"/>
        </w:rPr>
        <w:t>. Use its commercially reasonable efforts to deliver to the Collateral Agent (to the extent not delivered on the Effective Date) no later than 60 days after the Effective Date (or such later date agreed to by the Collateral Agent and Servicing Agent in their reasonable discretion) a landlord waiver or collateral access agreement, in form and substance reasonably satisfactory to the Collateral Agent and Servicing Agent, executed by each landlord, bailee, warehouseman, or similar party with respect to each of the Loan Parties’ leases for real property and each premises of a bailee, warehouseman, or similar party on a commercially reasonable efforts basis, where the Loan Parties’ books and records are located and/or tangible Collateral with a book value in excess of $2,500,000 (when aggregated with all other Collateral at the same location) is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Control Agreements</w:t>
      </w:r>
      <w:r>
        <w:rPr>
          <w:rFonts w:ascii="Times New Roman" w:hAnsi="Times New Roman"/>
          <w:caps w:val="false"/>
          <w:smallCaps w:val="false"/>
          <w:sz w:val="20"/>
        </w:rPr>
        <w:t>. Deliver to the Collateral Agent no later than 60 days after the Effective Date (as such date may be extended by the Collateral Agent and the Servicing Agent in their reasonable discretion) Control Agreements with respect to the Cash Management Accounts (other than Excluded Accounts) of the Loan Parties in accordance with Section 8.01(b).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Foreign Security Documents</w:t>
      </w:r>
      <w:r>
        <w:rPr>
          <w:rFonts w:ascii="Times New Roman" w:hAnsi="Times New Roman"/>
          <w:caps w:val="false"/>
          <w:smallCaps w:val="false"/>
          <w:sz w:val="20"/>
        </w:rPr>
        <w:t>. Cause each of (1) Accuray International Sàrl, (2) the Hong Kong Guarantor, and (3) Accuray Japan K.K. to deliver each document and perform any action listed on Schedule 7.01(u) in accordance with its terms, no later than 90 days after the Effective Date (as such date may be extended by the Collateral Agent and the Servicing Agent in their reasonable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Hedging Agreements</w:t>
      </w:r>
      <w:r>
        <w:rPr>
          <w:rFonts w:ascii="Times New Roman" w:hAnsi="Times New Roman"/>
          <w:caps w:val="false"/>
          <w:smallCaps w:val="false"/>
          <w:sz w:val="20"/>
        </w:rPr>
        <w:t>. Within thirty (30) days after the Effective Date (or such later date as may be agreed by the Administrative Agent in its reasonable discretion, which such later date shall not be later than forty-five (45) days after the Effective Date), deliver to the Administrative Agent evidence of compliance with Section 7.01(m), in form and substance satisfactory to the Administrative Agent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w:t>
      </w:r>
      <w:r>
        <w:rPr>
          <w:rFonts w:ascii="Times New Roman" w:hAnsi="Times New Roman"/>
          <w:caps w:val="false"/>
          <w:smallCaps w:val="false"/>
          <w:sz w:val="20"/>
        </w:rPr>
        <w:br/>
        <w:br/>
      </w:r>
      <w:r>
        <w:rPr>
          <w:rFonts w:ascii="Times New Roman" w:hAnsi="Times New Roman"/>
          <w:b/>
          <w:caps w:val="false"/>
          <w:smallCaps w:val="false"/>
          <w:sz w:val="20"/>
        </w:rPr>
        <w:t>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6.01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Each Loan Party hereby represents and warrants to the Secured Parties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Organization, Good Standing, Etc.</w:t>
      </w:r>
      <w:r>
        <w:rPr>
          <w:rFonts w:ascii="Times New Roman" w:hAnsi="Times New Roman"/>
          <w:caps w:val="false"/>
          <w:smallCaps w:val="false"/>
          <w:sz w:val="20"/>
        </w:rPr>
        <w:t xml:space="preserve"> Each Loan Party (i) is a corporation, limited liability company or limited partnership duly organized, validly existing and (where such concept is recognized under the laws of the relevant jurisdiction) in good standing under the laws of the state or jurisdiction of its organization, (ii) has all requisite organizational power and authority to conduct its business as now conducted and as presently contemplated and, in the case of the Borrowers, to make the borrowings hereunder, and to execute and deliver each Loan Document to which it is a party, and to consummate the transactions contemplated thereby, and (iii) is duly qualified to do business and (where such concept is recognized under the laws of the relevant jurisdiction) is in good standing in each jurisdiction in which the character of the properties owned or leased by it or in which the transaction of its business makes such qualification necessary, except (solely for the purposes of this subclause (iii)) where the failure to be so qualified and in good standing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Authorization, Etc.</w:t>
      </w:r>
      <w:r>
        <w:rPr>
          <w:rFonts w:ascii="Times New Roman" w:hAnsi="Times New Roman"/>
          <w:caps w:val="false"/>
          <w:smallCaps w:val="false"/>
          <w:sz w:val="20"/>
        </w:rPr>
        <w:t xml:space="preserve"> The execution, delivery and performance by each Loan Party of each Loan Document to which it is or will be a party, (i) have been duly authorized by all necessary organizational action, (ii) do not and will not contravene (A) any of its Governing Documents, (B) any applicable material Requirement of Law or (C) any Contractual Obligation binding on it or any of its properties except, in the case of this clause (ii)(C), to the extent such contravention could not reasonably be expected to have a Material Adverse Effect, (iii) do not and will not result in or require the creation of any Lien (other than pursuant to any Loan Document or any Permitted Lien) upon or with respect to any of its properties, and (iv) do not and will not result in any default, noncompliance, suspension, revocation, impairment, forfeiture or nonrenewal of any permit, license, authorization or approval applicable to its operations or any of its properties, except, in the case of clause (iv), to the extent where such contravention, default, noncompliance, suspension, revocation, impairment, forfeiture or nonrenewal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Governmental Approvals</w:t>
      </w:r>
      <w:r>
        <w:rPr>
          <w:rFonts w:ascii="Times New Roman" w:hAnsi="Times New Roman"/>
          <w:caps w:val="false"/>
          <w:smallCaps w:val="false"/>
          <w:sz w:val="20"/>
        </w:rPr>
        <w:t>. No material authorization or approval or other action by, and no notice to or filing with, any Governmental Authority is required and will not require any Permit, registration, consent, or approval in connection with the due execution, delivery and performance by any Loan Party of any Loan Document to which it is or will be a party other than (i) filings and recordings with respect to Collateral to be made, or otherwise delivered to the Collateral Agent for filing or recordation and (ii) Permits, registrations, consents, or approvals the failure to have could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Enforceability of Loan Documents</w:t>
      </w:r>
      <w:r>
        <w:rPr>
          <w:rFonts w:ascii="Times New Roman" w:hAnsi="Times New Roman"/>
          <w:caps w:val="false"/>
          <w:smallCaps w:val="false"/>
          <w:sz w:val="20"/>
        </w:rPr>
        <w:t>. This Agreement is, and each other Loan Document to which any Loan Party is or will be a party, when delivered hereunder, will be, a legal, valid and binding obligation of such Person, enforceable against such Person in accordance with its terms, except as enforceability may be limited by applicable bankruptcy, insolvency, reorganization, moratorium or other similar laws affecting the enforcement of creditors’ rights generally and by general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Capitalization</w:t>
      </w:r>
      <w:r>
        <w:rPr>
          <w:rFonts w:ascii="Times New Roman" w:hAnsi="Times New Roman"/>
          <w:caps w:val="false"/>
          <w:smallCaps w:val="false"/>
          <w:sz w:val="20"/>
        </w:rPr>
        <w:t>. On the Effective Date, after giving effect to the transactions contemplated hereby to occur on the Effective Date, the authorized Equity Interests of the Administrative Borrower and each of its Subsidiaries and the issued and outstanding Equity Interests of the Administrative Borrower and each of its Subsidiaries are as set forth on Schedule 6.01(e). As of the Effective Date, all of the issued and outstanding shares of Equity Interests of the Administrative Borrower and each of its Subsidiaries have been validly issued and are fully paid and nonassessable (if applicable), and except as set forth on Schedule 6.01(e), the holders thereof are not entitled to any preemptive, first refusal or other similar rights. All Equity Interests of such Subsidiaries are free and clear of all Liens (other than Permitted Specified Liens). As of the Effective Date, except as described on Schedule 6.01(e), there are no outstanding debt or equity securities of the Administrative Borrower or any of its Subsidiaries and no outstanding obligations of the Administrative Borrower or any of its Subsidiaries convertible into or exchangeable for, or warrants, options or other rights for the purchase or acquisition from the Administrative Borrower or any of its Subsidiaries, or other obligations of the Administrative Borrower or any of its Subsidiaries to issue, directly or indirectly, any shares of Equity Interests of the Administrative Borrower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Litigation</w:t>
      </w:r>
      <w:r>
        <w:rPr>
          <w:rFonts w:ascii="Times New Roman" w:hAnsi="Times New Roman"/>
          <w:caps w:val="false"/>
          <w:smallCaps w:val="false"/>
          <w:sz w:val="20"/>
        </w:rPr>
        <w:t>. Except as set forth in Schedule 6.01(f), there is no pending or, to the best knowledge of any Loan Party, threatened in writing action, Adverse Proceeding, suit or proceeding against any Loan Party or any of its properties before any court or other Governmental Authority or any arbitrator that (i) could reasonably be expected to have a Material Adverse Effect or (ii) relates to this Agreement or any other Loan Document or any transaction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Financial Statements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Financial Statements, copies of which have been delivered to each Agent (for distribution to the Lenders), fairly present in all material respects the consolidated financial condition of the Administrative Borrower and its Subsidiaries as at the respective dates thereof and the consolidated results of operations of the Administrative Borrower and its Subsidiaries for the fiscal periods ended on such respective dates, all in accordance with GAAP (subject to the absence of footnotes, as set forth therein and normal year-end adjustments). All material indebtedness and other liabilities, direct or contingent, of the Administrative Borrower and its Subsidiaries as of the date of such Financial Statements are set forth in the Financial Statements. Since the Effective Date, no event or development has occurred that has had or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Administrative Borrower has heretofore furnished to each Agent and each Lender projected annual balance sheets, income statements and statements of cash flows of the Administrative Borrower and its Subsidiaries for the Fiscal Years ending in 2025 through 2027, which projected financial statements shall be updated from time to time pursuant to Section 7.01(a)(vii).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Compliance with Law, Etc</w:t>
      </w:r>
      <w:r>
        <w:rPr>
          <w:rFonts w:ascii="Times New Roman" w:hAnsi="Times New Roman"/>
          <w:caps w:val="false"/>
          <w:smallCaps w:val="false"/>
          <w:sz w:val="20"/>
        </w:rPr>
        <w:t>. No Loan Party or any of its Subsidiaries is in violation of (i) any of its Governing Documents, (ii) any Requirement of Law, Healthcare Law or Permit applicable to such Loan Party or its Subsidiaries (other than infringement or other violations with respect to Intellectual Property, which matters are governed by Section 6.01(u)), or (iii) any Contractual Obligation (including, without limitation, any Material Contract) binding on it or any of its properties except, in the case of clause (i) with respect to a Subsidiary that is not a Guarantor, clause (ii) and clause (iii), to the extent such violation could not reasonably be expected to have a Material Adverse Effect. The Agreement and Related Transactions will not violate or result in a default under any Permit, indenture, material agreement or other material instrument binding upon Holdings or any of its Subsidiaries or its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ERISA</w:t>
      </w:r>
      <w:r>
        <w:rPr>
          <w:rFonts w:ascii="Times New Roman" w:hAnsi="Times New Roman"/>
          <w:caps w:val="false"/>
          <w:smallCaps w:val="false"/>
          <w:sz w:val="20"/>
        </w:rPr>
        <w:t>. Except as could not reasonably be expected to have a Material Adverse Effect, (i) each Loan Party and each Employee Plan is in compliance with all Requirements of Law in all material respects, including ERISA, the Internal Revenue Code and the Patient Protection and Affordable Care Act of 2010, as amended by the Health Care and Education Reconciliation Act of 2010, (ii) no ERISA Event has occurred nor is reasonably expected to occur with respect to any Employee Plan or Multiemployer Plan, and (iii) each Employee Plan that is intended to be a qualified plan under Section 401(a) of the Internal Revenue Code has been determined by the Internal Revenue Service to be qualified under Section 401(a) of the Internal Revenue Code and the trust related thereto is exempt from federal income tax under Section 501(a) of the Internal Revenue Code. Except as could not reasonably be expected to have a Material Adverse Effect, no Loan Party or any of its ERISA Affiliates has incurred any liability to the PBGC which remains outstanding other than the payment of premiums.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Taxes, Etc.</w:t>
      </w:r>
      <w:r>
        <w:rPr>
          <w:rFonts w:ascii="Times New Roman" w:hAnsi="Times New Roman"/>
          <w:caps w:val="false"/>
          <w:smallCaps w:val="false"/>
          <w:sz w:val="20"/>
        </w:rPr>
        <w:t xml:space="preserve"> (i) All U.S. federal income Tax returns, other material Tax returns and other material reports with respect to Taxes required by applicable Requirements of Law to be filed by any Loan Party have been filed and (ii) all Taxes imposed upon any Loan Party or any property of any Loan Party which have become due and payable on or prior to the date hereof have been paid, except (A) unpaid Taxes in an aggregate amount at any one time not in excess of $1,000,000, and (B) Taxes that are being contested in good faith by proper proceedings and with respect to which adequate reserves have been set aside for the payment thereof on the Financial Statements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Regulations T, U and X</w:t>
      </w:r>
      <w:r>
        <w:rPr>
          <w:rFonts w:ascii="Times New Roman" w:hAnsi="Times New Roman"/>
          <w:caps w:val="false"/>
          <w:smallCaps w:val="false"/>
          <w:sz w:val="20"/>
        </w:rPr>
        <w:t>. No Loan Party is or will be engaged in the business of extending credit for the purpose of purchasing or carrying margin stock (within the meaning of Regulation T, U or X), and no proceeds of any Loan will be used to purchase or carry any margin stock or to extend credit to others for the purpose of purchasing or carrying any margin stock or for any purpose that violates the provisions of Regulation T, U and 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Nature of Business</w:t>
      </w:r>
      <w:r>
        <w:rPr>
          <w:rFonts w:ascii="Times New Roman" w:hAnsi="Times New Roman"/>
          <w:caps w:val="false"/>
          <w:smallCaps w:val="false"/>
          <w:sz w:val="20"/>
        </w:rPr>
        <w:t>. No Loan Party is engaged in any business other than as permitted by Section 7.02(d).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Regulatory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Since January 1, 2020, (1) the business of the Administrative Borrower and Subsidiaries has been and is being conducted in compliance in all material respects with all applicable Healthcare Laws, and all Permits, (2) each Product (whether manufactured by the Administrative Borrower or any of its Subsidiaries, any of their respective Affiliates or by a third party manufacturer under contract to the Administrative Borrower or any of its Subsidiaries) has been, and currently is, being researched, developed, designed, investigated, tested, manufactured, made, assembled, stored, packaged, labeled, marketed and distributed by the Administrative Borrower and its Subsidiaries or third parties on their behalf, in compliance with all applicable Requirements of Law, including, without limitation, the Healthcare Laws, all required Permits, current good manufacturing practice requirements of the Quality System Regulations (21 CFR Part 820), the Device Master Record as defined in 21 CFR 820.181 and Document Controls under 21 CFR 820.40, or, in relation to the foregoing, the analogous Requirements of Law of any other foreign jurisdiction or country, and all Product specifications as established in the Borrowers’ and/or their Subsidiaries’ documentation, except to the extent any failure to so comply could not reasonably be expected to result in any adverse consequences to the Loan Parties (other than immaterial consequences), (3) each contract between the Administrative Borrower and any of its Subsidiaries on the one hand, and any third party manufacturer on the other hand contain (and the Borrower and each of its Subsidiaries implement), appropriate quality assurance and quality control arrangements in accordance with FDA requirements and comply in all material respects with all applicable Healthcare Laws, (4) the Administrative Borrower and its Subsidiaries are in compliance in all material respects with applicable Requirements of Law governing reporting and recordkeeping of Product modifications, adverse event reporting, malfunction reporting, reporting of corrections and removals, reporting of accidental radiation exposures, notification of defects, and recordkeeping for each Product, and all manufacturing and release documents and records are true and accurate in all material respects, (5) neither the Administrative Borrower nor any of its Subsidiaries has received or been subject to any written or oral communications from the FDA, the NRC or any other Governmental Authority asserting that the Administrative Borrower, any such Subsidiary or any such Product was not in compliance in any material respect with any applicable Requirement of Law or any Permit, and (6) no Product is: (i) adulterated within the meaning of 21 U.S.C. § 351; (ii) misbranded within the meaning of 21 U.S.C. § 352; (iii) in material violation of 21 U.S.C. §§ 331, 360, 360e, 360i, or 360j, or (iv) in relation to the foregoing (i)-(iii), the analogous Requirements of Law of any other foreign jurisdiction or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Other than routine surveillance audits and inspections, no investigation by any Governmental Authority with respect to the Administrative Borrower or any of its Subsidiaries is pending or, to the knowledge of the Loan Parties, threatened or planned. None of the Administrative Borrower or any of its Subsidiaries has received any written or oral communication from any Governmental Authority of any noncompliance with any Requirement of Law related to the Products or any written or oral communication from any Governmental Authority or accrediting organization of any material issues, problems, or concerns regarding the quality or performance of the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The Administrative Borrower and its Subsidiaries own, free and clear of all Liens, except Liens securing the Obligations, all Permits, including all authorizations under the FD&amp;C Act, other United States federal laws, and all applicable state and foreign laws, necessary (i) for the research and development and commercialization of the Products, including, without limitation, all Permits necessary in connection with testing, manufacturing, marketing or selling of such Products, as such testing, manufacturing, marketing or selling are currently being conducted, and (ii) to carry on the business of the Administrative Borrower and each of its Subsidiaries. All such Permits are valid and in full force and effect and the Administrative Borrower and each Subsidiary is in compliance in all material respects with all terms and conditions of such Permits. None of the Administrative Borrower or any Subsidiary has received any written notice from any Governmental Authority that any Permit has been or is being revoked, withdrawn, suspended or challenged or that such Governmental Authority is conducting an investigation or review thereof or has issued any order or recommendation stating that the development, testing and/or manufacturing of such Product should cease or that such Product should be withdrawn from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Except as could not reasonably be expected to have a materially adverse impact on the Administrative Borrower and its Subsidiaries, there have been no adverse clinical test results and there have been no Product recalls, Product corrections or removals or voluntary Product Market Withdrawals from any market (other than those recalls, corrections, removals or Product Market Withdrawals disclosed on Schedule 6.01(m)).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Since January 1, 2020, there has been no material untrue statement of fact and no fraudulent statement made by the Administrative Borrower or any of its Subsidiaries or any of their respective agents or representatives to the FDA, NRC, or any other Governmental Authority, and there has been no failure to disclose any material fact required to be disclosed to the FDA, NRC or any other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To the best knowledge of the Loan Parties, no insurance company, managed care organization or Governmental Authority has (i) terminated coverage or reimbursement for procedures and treatments performed using the CyberKnife and TomoTherapy Products, or (ii) reduced, restricted, lost, or impairs the scope of coverage or the rate of reimbursement it provides for procedures and treatments performed using the CyberKnife and TomoTherapy Products, and, in the case of this clause (ii), such reduction, restriction, loss, or impairment could reasonably be expected to have a materially adverse impact on the revenues of the Administrative Borrower and its Subsidiaries. None of the Administrative Borrower or any of its Subsidiaries has been the subject of any "for cause" inspection, investigation or audit by any Governmental Authority in connection with any alleged improper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Since January 1, 2020, neither Administrative Borrower nor any of its Subsidiaries has received any warning letter or “It Has Come to Our Attention Letter” from the FDA or any other Governmental Body or other similar communication from the FDA or other Governmental Body inquiring about or alleging or asserting noncompliance with any Healthcare Law. There is no arrangement relating to the Administrative Borrower or any of its Subsidiaries providing for any rebates, kickbacks or other forms of compensation or remuneration that are unlawful to be paid to any Person to induce, or in return for obtaining or the referral of business or for the arrangement for recommendation of such referrals. Neither the Administrative Borrower nor any of its Subsidiaries or their respective officers, directors, employees or agents has knowingly billed or knowingly received any payment or reimbursement on behalf of their clients or customers in excess of amounts allowed by applicable Healthcare Laws, or advised or knowingly provided information to any healthcare provider or supplier that could be reasonably interpreted to advocate upcoding or other coding activities that could reasonably be expected to violate Healthcare Laws. All billings by the Administrative Borrower and each of its Subsidiaries for its services have been true and correct in all material respects and are in compliance in all material respects with all applicable Healthcare Laws. The Administrative Borrower and its Subsidiaries do not submit claims to Governmental Authority, insurance companies, and managed care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(viii)         There are no facts, circumstances or conditions that, to the knowledge of the Administrative Borrower or any of its Subsidiaries, would could reasonably be expected to form the basis for any valid investigation, material inquiry, for-cause inspection, appeal, enforcement, seizure, detention, withdrawal, injunction, shutdown, field action, field correction, safety alert, recall, “It Has Come to Our Attention Letter”, warning letter, notice of suspension or cancellation of a registration of establishment license, FDA Form 483, Adverse Proceeding, suit, claim, audit, claim review, arbitration, action, qui tam, whistleblower suit (legal or regulatory), or proceeding (legal or regulatory) or other similar correspondence or action by a Governmental Authority relating to any of the Healthcare Laws against or affecting the Administrative Borrower or any of its Subsidiaries that could reasonably be expected to have a Material Adverse Effect. Except as disclosed to the Agent, neither the Administrative Borrower nor any of its Subsidiaries (i) are currently, or has been, a party to a corporate integrity agreement, monitoring agreement, consent decree, settlement agreement, individual integrity agreement, corporate compliance agreement, deferred prosecution agreement, or other formal or informal agreement or order mandating or prohibiting future or past activities relating to the its operations, or (ii) have any reporting obligations pursuant to a such settlement agreements, plan of correction, or other remedial measure entered into with any Governmental Authority. The Administrative Borrower or any of its Subsidiaries, as applicable, has complied with the terms and conditions of any corporate integrity agreements, settlement agreements, plans of correction, or other remedial measures or demand of any Governmental Authority to which it is subject except where non-compliance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(ix)         None of the Administrative Borrower or any of its Subsidiaries, or, to the knowledge of the Loan Parties, any individual who is an officer, director, employee, agent or manager (who, in each case, is a “person with a direct or indirect ownership or control interest” or is a “managing employee” (as those terms are defined in 42 C.F.R. § 420.201) of the Administrative Borrower or any of its Subsidiaries (a) has been convicted of, charged with or, to the knowledge of the Loan Parties, investigated for any federal or state health program-related offense or been excluded or suspended from participation in any such program; or, to the knowledge of the Loan Parties has been convicted of, charged with or, to the knowledge of the Loan Parties, investigated for a violation of any Requirement of Law related to fraud, theft, embezzlement, breach of fiduciary responsibility, financial misconduct, obstruction of an investigation or controlled substances, or has been subject to any judgment, stipulation, order or decree of, or criminal or civil fine or penalty imposed by, any Governmental Authority related to fraud, theft, embezzlement, breach of fiduciary responsibility, financial misconduct, obstruction of an investigation or controlled substances; (b) has been convicted of any crime or engaged in any conduct including but not limited to any misrepresentation to any Governmental Authority or that has otherwise resulted or would reasonably be expected to result in a debarment, suspension or exclusion (i) under 21 U.S.C. Section 335a, (ii) from selling products to the U.S. government or its agencies pursuant to the Federal Acquisition Regulation, relating to debarment and suspension applicable to federal government agencies generally (48 C.F.R. Subpart 9.4), (iii) from participation, or is otherwise ineligible to participate, in any federal health care program or similar program outside of the United States pursuant to any applicable Healthcare Laws by any Governmental Authority or (iv) any similar applicable Requirement of Law. No debarment proceedings, investigations or any of the actions or Adverse proceedings described above in respect of the business of the Borrower or any of its Subsidiaries are pending or, to the knowledge of the Loan Parties, threatened against the Administrative Borrower or any of its Subsidiaries or any individual who is an officer, director, employee or manager of the Borrower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         All studies, tests and preclinical and clinical trials conducted relating to the Products, sponsored by the Administrative Borrower or any of its Subsidiaries have been conducted, and are currently being conducted, in all material respects in accordance with all applicable Requirement of Law and IDEs, including procedures and controls pursuant to, where applicable, current good clinical practices and current good laboratory practices and submission to clinicaltrials.gov or other databases as required by Requirements of Law. To the extent required by applicable Requirement Law, the Administrative Borrower and each of its Subsidiaries has obtained all necessary authorizations from Governmental Authorities and IRBs or IECs, including an IDE for the conduct of any clinical investigations conducted by or on behalf of the Administrative Borrower or such Subsidiary,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         To the knowledge of the Loan Parties, none of the clinical investigators in any clinical trial sponsored by the Administrative Borrower or any of its Subsidiaries has been or is disqualified or otherwise sanctioned by the FDA, the Department of Health and Human Services, or any Governmental Authority and, to the knowledge of the Loan Parties, no such disqualification, or other sanction of any such clinical investigator is pending or threatened. None of the Administrative Borrower or any of its Subsidiaries has received from the FDA or other applicable Governmental Authority any notices or correspondence requiring or threatening the termination, suspension, material modification or clinical hold of any studies, tests or clinical trials with respect to or in connection with the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(xii)         The Administrative Borrower and all of its Subsidiaries maintain and implement (i) a compliance plan and program that is intended to ensure that the Administrative Borrower and its Subsidiaries are compliant with all Healthcare Laws applicable to the business of that Administrative Borrower and its Subsidiaries, and (ii) written policies, procedures, records, controls, measures and/or programs designed to assure that the operations, directors, members, managers, officers, employees, and independent contractors are in compliance with all applicable Healthcare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(xiii)         The Administrative Borrower and all of its Subsidiaries are in material compliance with: (i) all state and federal data privacy and security Laws and regulations, including without limitation HIPAA, that are applicable to the Administrative Borrower or its Subsidiaries (collectively, the “Privacy Laws”), and each of the Administrative Borrower and its Subsidiaries have taken commercially reasonable actions to prepare to comply with, and currently are in material compliance with, Privacy Laws, (ii) applicable industry standards relating to Privacy Laws, and (iii) the requirements of any contract or codes of conduct to which any of the Holdings or their Subsidiaries is a party relating to Privacy Laws, in each case except where such noncompliance could not reasonably be expected to have a Material Adverse Effect. To ensure compliance with the Privacy Laws, the Administrative Borrower and its Subsidiaries has in place, complies with, and takes appropriate steps reasonably designed to ensure compliance in all material respects with its policies and procedures relating to data privacy and security and the Processing of Personal Information (the “Policies”), except where such noncompliance could not reasonably be expected to have a Material Adverse Effect. Each of the Administrative Borrower and its Subsidiaries has made all material disclosures to users or customers required by applicable Privacy Laws, and none of such disclosures made or contained in any Policy has been inaccurate or in violation of any applicable Privacy Laws, except where such inaccuracy, violation or failure to disclose could not reasonably be expected to have a Material Adverse Effect. The Administrative Borrower and its Subsidiaries has commercially reasonable physical, technical, organizational and administrative security measures and policies in place to protect all personal information collected by it or on its behalf from and against unauthorized access, use and/or disclosure. None of the Administrative Borrower or its Subsidiaries: (i) has received notice of any actual or potential liability under or relating to, or actual or potential violation of, any of the Privacy Laws, and has no knowledge of any event or condition that could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by any governmental or regulatory authority under any Privacy Law, in each case except where such obligation or liability could not reasonably be expected to have a Material Adverse Effect. The Administrative Borrower and its Subsidiaries have not suffered any breach of unsecured protected health information, received any written notice from the Office for Civil Rights for the U.S. Department of Health and Human Services or any other Governmental Authority regarding any allegation regarding its failure to comply with HIPAA. The Administrative Borrower and its Subsidiaries, in each case to the extent required by HIPAA, has undertaken required or reasonable security risk assessments and implemented necessary safeguards, and has provided training with respect to compliance with HIPAA and has entered into a business associate agreement with each third party acting as a “covered entity”, “business associate,” or “subcontractor,” as applicable thereto (as such terms are defined in HIPAA).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Permits, Etc.</w:t>
      </w:r>
      <w:r>
        <w:rPr>
          <w:rFonts w:ascii="Times New Roman" w:hAnsi="Times New Roman"/>
          <w:caps w:val="false"/>
          <w:smallCaps w:val="false"/>
          <w:sz w:val="20"/>
        </w:rPr>
        <w:t xml:space="preserve"> Each Loan Party has, and is in compliance with, all Permits required for such Person lawfully to own, lease, manage or operate, or to acquire, each business and Facility currently owned, leased, managed or operated, or to be acquired, by such Person, except to the extent the failure to have or be in compliance therewith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Properties</w:t>
      </w:r>
      <w:r>
        <w:rPr>
          <w:rFonts w:ascii="Times New Roman" w:hAnsi="Times New Roman"/>
          <w:caps w:val="false"/>
          <w:smallCaps w:val="false"/>
          <w:sz w:val="20"/>
        </w:rPr>
        <w:t>. The Loan Parties have good and marketable title to, valid leasehold interests in, or valid licenses or rights to use, all their property and assets, except to the extent failure to have such title, licenses and rights could not reasonably be expected to have a Material Adverse Effect. The Loan Parties’ property and assets are free and clear of all Liens, except Permitted Liens. All of the Loan Parties’ material properties and assets are in good working order and condition, ordinary wear and tear, casualty and condemnation excepted.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caps w:val="false"/>
          <w:smallCaps w:val="false"/>
          <w:sz w:val="20"/>
          <w:u w:val="single"/>
        </w:rPr>
        <w:t xml:space="preserve">Employee and Labor Matters. </w:t>
      </w:r>
      <w:r>
        <w:rPr>
          <w:rFonts w:ascii="Times New Roman" w:hAnsi="Times New Roman"/>
          <w:caps w:val="false"/>
          <w:smallCaps w:val="false"/>
          <w:sz w:val="20"/>
        </w:rPr>
        <w:t>Except as set forth on Schedule 6.01(p) or to the extent failure to comply could not reasonably be expected to have a Material Adverse Effect: (i) no Loan Party or any Subsidiary is party to or subject to or governed by any collective bargaining agreement, collective agreement, works agreement or any similar agreement, (ii) no labor union, works council, or similar employee representative has been recognized as the representative of any employees of any Loan Party or any Subsidiary; (iii) there are no complaints alleging unfair labor practices or violation of any statutory or contractual obligations owed by any Loan Party or any Subsidiary to any of their employees pending or, to the knowledge of any Loan Party, threatened against any Loan Party or any Subsidiary before any Governmental Authority; (iv) there is no strike, work stoppage, slowdown, lockout, or other labor dispute pending or, to the knowledge of any Loan Party, threatened against any Loan Party or any Subsidiary, nor have there been in the past three (3) years; and (v) to the knowledge of each Loan Party, no labor organization, works council, employee representative or group of employees has made a demand for recognition or certification in the past three (3) years, and there are no representation or certification proceedings or petitions seeking a representation proceeding presently pending or threatened to be brought or filed with the National Labor Relations Board or any similar labor tribunal. All payments due from any Loan Party or Subsidiary on account of wages have been made in accordance with the Fair Labor Standards Act and similar applicable state legal requirements, except where the failure to do so would not, individually or in the aggregate,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caps w:val="false"/>
          <w:smallCaps w:val="false"/>
          <w:sz w:val="20"/>
          <w:u w:val="single"/>
        </w:rPr>
        <w:t>Environmental Matters</w:t>
      </w:r>
      <w:r>
        <w:rPr>
          <w:rFonts w:ascii="Times New Roman" w:hAnsi="Times New Roman"/>
          <w:caps w:val="false"/>
          <w:smallCaps w:val="false"/>
          <w:sz w:val="20"/>
        </w:rPr>
        <w:t>. Except as set forth on Schedule 6.01(q), (i) no Loan Party or any of its Subsidiaries is in violation of any Environmental Law, except for such violations as could not reasonably be expected to have a Material Adverse Effect, (ii) each Loan Party and its Subsidiaries has, and is in compliance with, all Environmental Permits for its respective operations and businesses, except to the extent any failure to have or be in compliance therewith could not reasonably be expected to have a Material Adverse Effect; (iii) there has been no Release of Hazardous Materials at any properties currently or, to the knowledge of any Loan Party, formerly owned, leased or operated by any Loan Party, its Subsidiaries or, to the knowledge of any Loan Party, a respective predecessor in interest or, to the knowledge of any Loan Party, at any disposal or treatment facility which received Hazardous Materials generated by any Loan Party, its Subsidiaries or, to the knowledge of any Loan Party, any respective predecessor in interest, which in any case of the foregoing could reasonably be expected to have a Material Adverse Effect; (iv) there are no pending or, to the knowledge of any Loan Party, threatened in writing Environmental Claims against, or Environmental Liability of, any Loan Party, its Subsidiaries or, to the knowledge of any Loan Party any respective predecessor in interest that could reasonably be expected to have a Material Adverse Effect; and (v) neither any Loan Party nor any of its Subsidiaries is performing or responsible for any Remedial Action that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caps w:val="false"/>
          <w:smallCaps w:val="false"/>
          <w:sz w:val="20"/>
          <w:u w:val="single"/>
        </w:rPr>
        <w:t>Insurance</w:t>
      </w:r>
      <w:r>
        <w:rPr>
          <w:rFonts w:ascii="Times New Roman" w:hAnsi="Times New Roman"/>
          <w:caps w:val="false"/>
          <w:smallCaps w:val="false"/>
          <w:sz w:val="20"/>
        </w:rPr>
        <w:t>. Each Loan Party maintains all insurance required by Section 7.01(h). Schedule 6.01(r) sets forth a list of all such insurance maintained by or for the benefit of each Loan Party on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caps w:val="false"/>
          <w:smallCaps w:val="false"/>
          <w:sz w:val="20"/>
          <w:u w:val="single"/>
        </w:rPr>
        <w:t>Use of Proceeds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The proceeds of the (i) Term Loans drawn on the Effective Date shall be used (a) to refinance the Existing Credit Agreement and other existing indebtedness of the Borrowers, (b) to consummate the exchange of all, or a portion of, the Existing Notes;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portion of the Term Loans drawn on the Effective Date, not exceeding $70,000,000 (the “</w:t>
      </w:r>
      <w:r>
        <w:rPr>
          <w:rFonts w:ascii="Times New Roman" w:hAnsi="Times New Roman"/>
          <w:caps w:val="false"/>
          <w:smallCaps w:val="false"/>
          <w:sz w:val="20"/>
          <w:u w:val="single"/>
        </w:rPr>
        <w:t>Escrow Payment</w:t>
      </w:r>
      <w:r>
        <w:rPr>
          <w:rFonts w:ascii="Times New Roman" w:hAnsi="Times New Roman"/>
          <w:caps w:val="false"/>
          <w:smallCaps w:val="false"/>
          <w:sz w:val="20"/>
        </w:rPr>
        <w:t xml:space="preserve">”), shall be deposited in the Escrow Account on the Effective Date and shall be released therefrom to effectuate the Exchange (as defined in the relevant Exchange Agreement) of Existing Notes as set forth in the applicable Exchange Agreement or otherwise pursuant to Section 2.05(c)(vi);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immediately upon receipt of notice from Accuray that an Exchange (as defined in the applicable Exchange Agreement) of any Existing Notes will be consummated on or before the date that is twelve (12) Business Days following the Effective Date, each of the Administrative Agent and the Servicing Agent shall (and hereby agrees to) deliver to Accuray an executed Joint Escrow Release (to be subsequently and promptly delivered to the Escrow Agent), and (c) to pay fees and expenses in connection with the transactions contemplated hereby, (ii) Revolving Loans drawn after the Effective Date shall be used for working capital and other general corporate purposes of the Borrower and its Subsidiaries (including, for the avoidance of doubt, its Foreign Subsidiaries) not prohibited under this Agreement and (iii) Delayed Draw Term Loans shall be used to consummate the exchange or other redemption (or to refinancing Indebtedness incurred to consummate the exchange or other redemption) of any Existing Notes that remain outstanding from and after the thirteenth (13th) Business Day after the Effective Date and to pay fees and expenses in connection with the transactions contemplated hereby. No Revolving Loans shall be drawn on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No proceeds of any Loan will be used, whether directly or indirectly, in a manner which would constitute a harmful “use of proceeds in Switzerland” as interpreted by the Swiss Federal Tax Administration for purposes of Swiss Withholding Tax, unless the Swiss Federal Tax Administration confirms by way of a binding tax ruling satisfactory to the Administrative Agent that interest payments under this Agreement will not be subject to Swiss Withholding Tax (irrespective of a potential use of proceeds in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caps w:val="false"/>
          <w:smallCaps w:val="false"/>
          <w:sz w:val="20"/>
          <w:u w:val="single"/>
        </w:rPr>
        <w:t>Solvency</w:t>
      </w:r>
      <w:r>
        <w:rPr>
          <w:rFonts w:ascii="Times New Roman" w:hAnsi="Times New Roman"/>
          <w:caps w:val="false"/>
          <w:smallCaps w:val="false"/>
          <w:sz w:val="20"/>
        </w:rPr>
        <w:t>. After giving effect to the transactions contemplated by this Agreement and after giving effect to the Loans, on the Effective Date, the Loan Parties on a consolidated basis are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(u)    </w:t>
      </w:r>
      <w:r>
        <w:rPr>
          <w:rFonts w:ascii="Times New Roman" w:hAnsi="Times New Roman"/>
          <w:caps w:val="false"/>
          <w:smallCaps w:val="false"/>
          <w:sz w:val="20"/>
          <w:u w:val="single"/>
        </w:rPr>
        <w:t>Intellectual Property</w:t>
      </w:r>
      <w:r>
        <w:rPr>
          <w:rFonts w:ascii="Times New Roman" w:hAnsi="Times New Roman"/>
          <w:caps w:val="false"/>
          <w:smallCaps w:val="false"/>
          <w:sz w:val="20"/>
        </w:rPr>
        <w:t>. Except as set forth on Schedule 6.01(u), each Loan Party owns or licenses or otherwise has the right to use all Intellectual Property rights that are necessary for the operation of its business as currently conducted and, to the knowledge of each Loan Party, the conduct and operations of the business of each Loan Party as currently conducted do not infringe upon, violate or conflict with the Intellectual Property rights of any other Person with respect thereto, except for such failures to own, license or have the right to use, infringements, violations and conflicts which, individually or in the aggregate, could not reasonably be expected to have a Material Adverse Effect. No Excluded Subsidiary owns or exclusively licenses any Material Intellectual Property. Set forth on Schedule 6.01(u) is a complete and accurate list as of the Effective Date of each item of Registered Intellectual Property owned by each Loan Party. Since January 1, 2024, no other Person has brought any written claim or litigation (i) contesting any right or interest in any Intellectual Property owned by a Loan Party or (ii) asserting or offering a license to any right or interest in any Intellectual Property owned by any other Person, and, to the knowledge of each Loan Party, no such claim is pending or threatened, except in connection with such infringements, violations or conflicts, and except for such claims and litigations, which could not reasonably be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Material Contracts</w:t>
      </w:r>
      <w:r>
        <w:rPr>
          <w:rFonts w:ascii="Times New Roman" w:hAnsi="Times New Roman"/>
          <w:caps w:val="false"/>
          <w:smallCaps w:val="false"/>
          <w:sz w:val="20"/>
        </w:rPr>
        <w:t>. As of the Effective Date, each such Material Contract (i) is in full force and effect and is binding upon and enforceable (except as enforceability may be limited by applicable bankruptcy, insolvency, reorganization, moratorium or other similar laws affecting the enforcement of creditors’ rights generally and by general principles of equity) against each Loan Party that is a party thereto and, to the best knowledge of such Loan Party, all other parties thereto in accordance with its terms, (ii) has not been otherwise amended or modified except as noted therein and (iii) to the best knowledge of any Loan Party is not in default of a material provision due to the action of any Loan Party or any other party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    </w:t>
      </w:r>
      <w:r>
        <w:rPr>
          <w:rFonts w:ascii="Times New Roman" w:hAnsi="Times New Roman"/>
          <w:caps w:val="false"/>
          <w:smallCaps w:val="false"/>
          <w:sz w:val="20"/>
          <w:u w:val="single"/>
        </w:rPr>
        <w:t>Investment Company Act</w:t>
      </w:r>
      <w:r>
        <w:rPr>
          <w:rFonts w:ascii="Times New Roman" w:hAnsi="Times New Roman"/>
          <w:caps w:val="false"/>
          <w:smallCaps w:val="false"/>
          <w:sz w:val="20"/>
        </w:rPr>
        <w:t>. None of the Loan Parties is (i) an “investment company” registered or required to be registered under the Investment Company Act of 1940, as amended, or (ii) subject to regulation under any Requirement of Law that limits in any respect its ability to incur Indebtedness or which may otherwise render all or a portion of the Obligations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(x)    </w:t>
      </w:r>
      <w:r>
        <w:rPr>
          <w:rFonts w:ascii="Times New Roman" w:hAnsi="Times New Roman"/>
          <w:caps w:val="false"/>
          <w:smallCaps w:val="false"/>
          <w:sz w:val="20"/>
          <w:u w:val="single"/>
        </w:rPr>
        <w:t>Outbound Investment Rules</w:t>
      </w:r>
      <w:r>
        <w:rPr>
          <w:rFonts w:ascii="Times New Roman" w:hAnsi="Times New Roman"/>
          <w:caps w:val="false"/>
          <w:smallCaps w:val="false"/>
          <w:sz w:val="20"/>
        </w:rPr>
        <w:t>. Neither Administrative Borrower nor any of its Subsidiaries is a “covered foreign person” as that term is defined in the Outbound Investment Rules, as of the date hereof. Neither Administrative Borrower nor any of its Subsidiaries currently engages, or has any present intention to engage in the future, directly or indirectly, in any activity that would cause Administrative Agent, the Servicing Agent and/or the Lenders to be in violation of the Outbound Investment Rules or cause Administrative Agent, the Servicing Agent and/or the Lenders to be legally prohibited by the Outbound Investment Rules from performing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(y)    </w:t>
      </w:r>
      <w:r>
        <w:rPr>
          <w:rFonts w:ascii="Times New Roman" w:hAnsi="Times New Roman"/>
          <w:caps w:val="false"/>
          <w:smallCaps w:val="false"/>
          <w:sz w:val="20"/>
          <w:u w:val="single"/>
        </w:rPr>
        <w:t>Sanctions; Anti-Corruption and Anti-Money Laundering Laws</w:t>
      </w:r>
      <w:r>
        <w:rPr>
          <w:rFonts w:ascii="Times New Roman" w:hAnsi="Times New Roman"/>
          <w:caps w:val="false"/>
          <w:smallCaps w:val="false"/>
          <w:sz w:val="20"/>
        </w:rPr>
        <w:t>. None of any Loan Party, any Subsidiary thereof, or any of their respective directors, officers or employees (i) is a Sanctioned Person or currently the subject or target of any Sanctions, (ii) has assets located in a Sanctioned Country in violation of applicable Sanctions or Trade Control Laws or (iii) directly or knowingly indirectly derives revenues from investments in, or transactions with, Prohibited Persons in violation of applicable Sanctions or Trade Control Laws. Each Loan Party and its Subsidiaries will implement and maintain in effect policies and procedures reasonably designed to promote compliance by each Loan Party and its Subsidiaries and their respective directors, officers, employees, agents and Affiliates with all applicable Anti-Corruption Laws, Anti-Money Laundering Laws, Sanctions and Trade Control Laws. Each Loan Party and its Subsidiaries, and the respective directors, officers and employees of each Loan Party and its Subsidiaries, is in compliance (A) in all material respects with all applicable Anti-Corruption Laws, Anti-Money Laundering Laws and Trade Control Laws and (B) in all respects with all applicable Sanctions. Except as set forth in Schedule 6.01(y), no Loan Party or any of its Subsidiaries has been, during the past five (5) years, the subject of any claim, proceeding, suit, enforcement action or, to the knowledge of any Loan Party, investigation by, or received any written notice or other written communication from, or made any disclosure to, any Governmental Authority with respect to any potential, suspected, actual or alleged violation by such Loan Party or any of its Subsidiaries of Anti-Corruption Laws, Anti-Money Laundering Laws, Sanctions or Trade Control Laws. The foregoing representations in this section will not apply to any party hereto to which Council Regulation (EC) 2271/96 (the “</w:t>
      </w:r>
      <w:r>
        <w:rPr>
          <w:rFonts w:ascii="Times New Roman" w:hAnsi="Times New Roman"/>
          <w:caps w:val="false"/>
          <w:smallCaps w:val="false"/>
          <w:sz w:val="20"/>
          <w:u w:val="single"/>
        </w:rPr>
        <w:t>Blocking Regulation</w:t>
      </w:r>
      <w:r>
        <w:rPr>
          <w:rFonts w:ascii="Times New Roman" w:hAnsi="Times New Roman"/>
          <w:caps w:val="false"/>
          <w:smallCaps w:val="false"/>
          <w:sz w:val="20"/>
        </w:rPr>
        <w:t>”) applies, if and to the extent that such representations are or would be unenforceable by or in respect of that party pursuant to, or would otherwise result in a breach and/or violation of, (i) any provision of the Blocking Regulation (or any law or regulation implementing the Blocking Regulation in any member state of the European Union) or (ii) any similar blocking or anti-boycott law in the United Kingdom. As of the Amendment No. 3 Effective Date, the information included in the Beneficial Ownership Certification delivered to the Agents on the Effective Date is true and correct in all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(z)    </w:t>
      </w:r>
      <w:r>
        <w:rPr>
          <w:rFonts w:ascii="Times New Roman" w:hAnsi="Times New Roman"/>
          <w:caps w:val="false"/>
          <w:smallCaps w:val="false"/>
          <w:sz w:val="20"/>
          <w:u w:val="single"/>
        </w:rPr>
        <w:t>Full Disclosure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Each Loan Party has disclosed to the Agents all agreements, instruments and corporate or other restrictions to which it is subject, and all other matters known to it, that, individually or in the aggregate, could reasonably be expected to result in a Material Adverse Effect. To the Administrative Borrower’s knowledge, none of the written reports, financial statements, certificates or written other information furnished by or on behalf of any Loan Party to the Agents (other than forward-looking information, estimates, budgets and projections and information of a general economic nature and general information about Borrowers’ industry) (taken as a whole and as supplemented) in connection with the negotiation of this Agreement or delivered hereunder (as modified or supplemented by other information so furnished and taken as a whole) contains any material misstatement of fact or omits to state any material fact necessary to make the statements therein, in the light of the circumstances under which it was made, not materially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Projections have been prepared in good faith based on assumptions, estimates, methods and tests that are believed by the Loan Parties to be reasonable at the time such Projections were prepared; it being understood that (A) Projections are by their nature subject to significant uncertainties and contingencies, many of which are beyond the Loan Parties’ control, (B) actual results may differ materially from the Projections and such variations may be material and (C) the Projections are not a guarantee of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(aa)    </w:t>
      </w:r>
      <w:r>
        <w:rPr>
          <w:rFonts w:ascii="Times New Roman" w:hAnsi="Times New Roman"/>
          <w:caps w:val="false"/>
          <w:smallCaps w:val="false"/>
          <w:sz w:val="20"/>
          <w:u w:val="single"/>
        </w:rPr>
        <w:t>Inventory</w:t>
      </w:r>
      <w:r>
        <w:rPr>
          <w:rFonts w:ascii="Times New Roman" w:hAnsi="Times New Roman"/>
          <w:caps w:val="false"/>
          <w:smallCaps w:val="false"/>
          <w:sz w:val="20"/>
        </w:rPr>
        <w:t>. All Inventory of the Loan Parties, to the extent applicable and to the extent included in the Borrowing Base, (i) complies in all material respects with all Requirements of Law, (ii) has been manufactured, processed, packed, held, and transported in all material respects in accordance with appropriate “good manufacturing practices” or similar practices that may be promulgated under all Requirements of Law, and (iii) is not and will not be prohibited in any material respect from being introduced into interstate commerce under the provisions of any Requirements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(bb)    </w:t>
      </w:r>
      <w:r>
        <w:rPr>
          <w:rFonts w:ascii="Times New Roman" w:hAnsi="Times New Roman"/>
          <w:caps w:val="false"/>
          <w:smallCaps w:val="false"/>
          <w:sz w:val="20"/>
          <w:u w:val="single"/>
        </w:rPr>
        <w:t>Intellectual Property</w:t>
      </w:r>
      <w:r>
        <w:rPr>
          <w:rFonts w:ascii="Times New Roman" w:hAnsi="Times New Roman"/>
          <w:caps w:val="false"/>
          <w:smallCaps w:val="false"/>
          <w:sz w:val="20"/>
        </w:rPr>
        <w:t>. Each Borrowing Base Party shall take all steps reasonably necessary from time to time to ensure that (a) a Borrowing Base Party shall be the legal and record owner of all material Intellectual Property owned by a Borrowing Base Party and their respective present and future direct and indirect Subsidiaries (whether now owned or hereafter acquired), (b) a Borrowing Base Party or one of its Subsidiaries shall maintain all material Intellectual Property and, where possible, apply for renewals or other extensions of legal protection pertaining to all material Intellectual Property, and (c) appropriate intercompany licensing arrangements are in place to allow intercompany access to, and payment for, such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(cc)    </w:t>
      </w:r>
      <w:r>
        <w:rPr>
          <w:rFonts w:ascii="Times New Roman" w:hAnsi="Times New Roman"/>
          <w:caps w:val="false"/>
          <w:smallCaps w:val="false"/>
          <w:sz w:val="20"/>
          <w:u w:val="single"/>
        </w:rPr>
        <w:t>Accounts</w:t>
      </w:r>
      <w:r>
        <w:rPr>
          <w:rFonts w:ascii="Times New Roman" w:hAnsi="Times New Roman"/>
          <w:caps w:val="false"/>
          <w:smallCaps w:val="false"/>
          <w:sz w:val="20"/>
        </w:rPr>
        <w:t>. With respect to each of the Borrowing Base Parties’ U.S. Eligible Accounts or Non-U.S. Eligible Accounts, as applicable, unless otherwise disclosed to the Servicing Agent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It is genuine and in all respects what it purports to be, and it is not evidenced by a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It arises out of a completed, </w:t>
      </w:r>
      <w:r>
        <w:rPr>
          <w:rFonts w:ascii="Times New Roman" w:hAnsi="Times New Roman"/>
          <w:caps w:val="false"/>
          <w:smallCaps w:val="false"/>
          <w:sz w:val="20"/>
          <w:u w:val="single"/>
        </w:rPr>
        <w:t>bona</w:t>
      </w:r>
      <w:r>
        <w:rPr>
          <w:rFonts w:ascii="Times New Roman" w:hAnsi="Times New Roman"/>
          <w:caps w:val="false"/>
          <w:smallCaps w:val="false"/>
          <w:sz w:val="20"/>
        </w:rPr>
        <w:t xml:space="preserve"> </w:t>
      </w:r>
      <w:r>
        <w:rPr>
          <w:rFonts w:ascii="Times New Roman" w:hAnsi="Times New Roman"/>
          <w:caps w:val="false"/>
          <w:smallCaps w:val="false"/>
          <w:sz w:val="20"/>
          <w:u w:val="single"/>
        </w:rPr>
        <w:t>fide</w:t>
      </w:r>
      <w:r>
        <w:rPr>
          <w:rFonts w:ascii="Times New Roman" w:hAnsi="Times New Roman"/>
          <w:caps w:val="false"/>
          <w:smallCaps w:val="false"/>
          <w:sz w:val="20"/>
        </w:rPr>
        <w:t xml:space="preserve"> sale and delivery of goods or rendition of services by a Borrowing Base Party, in the ordinary course of its business and in accordance with the terms and conditions of all purchase orders, contracts or other documents relating thereto and forming a part of the contract between a Borrowing Base Party and the Account Debtor;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It is for a liquidated amount maturing as stated in the invoice covering such sale or rendition of services, a copy of which has been furnished or is available to the Servicing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There are no facts, events or occurrences which in any way impair the validity or enforceability of any Accounts or tend to reduce the amount payable thereunder from the face amount of the invoice and statements delivered or made available to the Servicing Agent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To the best of the Borrowing Base Parties’ knowledge, the Account Debtor thereunder (i) had the capacity to contract at the time any contract or other document giving rise to the Account was executed and (ii) such Account Debtor is Solvent;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To the best of the Borrowing Base Parties’ knowledge, there are no proceedings or actions which are threatened or pending against the Account Debtor thereunder which might result in any material adverse change in such Account Debtor’s financial condition or the collectability of such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w:t>
      </w:r>
      <w:r>
        <w:rPr>
          <w:rFonts w:ascii="Times New Roman" w:hAnsi="Times New Roman"/>
          <w:caps w:val="false"/>
          <w:smallCaps w:val="false"/>
          <w:sz w:val="20"/>
        </w:rPr>
        <w:br/>
        <w:br/>
      </w:r>
      <w:r>
        <w:rPr>
          <w:rFonts w:ascii="Times New Roman" w:hAnsi="Times New Roman"/>
          <w:b/>
          <w:caps w:val="false"/>
          <w:smallCaps w:val="false"/>
          <w:sz w:val="20"/>
        </w:rPr>
        <w:t>COVENANTS OF THE LOAN PARTIES AND OTHER COLLATERAL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7.01    </w:t>
      </w:r>
      <w:r>
        <w:rPr>
          <w:rFonts w:ascii="Times New Roman" w:hAnsi="Times New Roman"/>
          <w:caps w:val="false"/>
          <w:smallCaps w:val="false"/>
          <w:sz w:val="20"/>
          <w:u w:val="single"/>
        </w:rPr>
        <w:t>Affirmative Covenants</w:t>
      </w:r>
      <w:r>
        <w:rPr>
          <w:rFonts w:ascii="Times New Roman" w:hAnsi="Times New Roman"/>
          <w:caps w:val="false"/>
          <w:smallCaps w:val="false"/>
          <w:sz w:val="20"/>
        </w:rPr>
        <w:t>. So long as any principal of or interest on any Loan or any other Obligation (whether or not due) shall remain unpaid (other than Contingent Indemnity Obligations) or any Lender shall have any Commitment hereunder, each Loan Party shall and shall cause each of its Subsidiaries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Reporting Requirements</w:t>
      </w:r>
      <w:r>
        <w:rPr>
          <w:rFonts w:ascii="Times New Roman" w:hAnsi="Times New Roman"/>
          <w:caps w:val="false"/>
          <w:smallCaps w:val="false"/>
          <w:sz w:val="20"/>
        </w:rPr>
        <w:t>. Furnish to each Agent, for distribution to each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(1) within 45 days after the end of each fiscal month of the Administrative Borrower and its Subsidiaries commencing with the first full fiscal month of the Administrative Borrower and its Subsidiaries ending after the Effective Date until the fiscal month ending December 31, 2025, and (2) within 30 days after the end of each fiscal month thereafter, internally prepared consolidated balance sheets, consolidated statements of income and consolidated statements of cash flows as at the end of such fiscal month, and for the period commencing at the end of the immediately preceding Fiscal Year and ending with the end of such fiscal month, setting forth in each case in comparative form the figures for the corresponding date or period set forth in (A) the financial statements for the immediately preceding Fiscal Year, and (B) the Projections of consolidated statements of operations, all in reasonable detail and certified by an Authorized Officer of the Administrative Borrower as fairly presenting, in all material respects, the financial position of the Administrative Borrower and its Subsidiaries as at the end of such fiscal month and the results of operations and cash flows of the Administrative Borrower and its Subsidiaries for such fiscal month and for such year-to-date period, in accordance with GAAP applied in a manner consistent with that of the most recent audited financial statements furnished to the Agents and the Lenders, subject to the absence of footnotes and normal year-end adjustments and accompanied by a KPI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(1) within 60 days after the end of each Fiscal Quarter of the Administrative Borrower and its Subsidiaries commencing with the first Fiscal Quarter of the Administrative Borrower and its Subsidiaries ending after the Effective Date until the Fiscal Quarter ending December 31, 2025, and (2) within 45 days after the end of each Fiscal Quarter thereafter, in the case of each of (1) or (2), or such longer period as consented to by the Administrative Agent and the Servicing Agent (such consent not to be unreasonably withheld, delayed or conditioned and which may be delivered by email), the consolidated and consolidating balance sheets, consolidated and consolidating statements of income, and consolidated and consolidating statements of cash flows of the Administrative Borrower and its Subsidiaries as at the end of such quarter, and for the period commencing at the end of the immediately preceding Fiscal Year and ending with the end of such quarter, setting forth in each case in comparative form the figures for the corresponding date or period set forth in (A) the financial statements for the immediately preceding Fiscal Year and (B) the Projections of consolidated statements of operations, all in reasonable detail and certified by an Authorized Officer of the Administrative Borrower as fairly presenting, in all material respects, the financial position of the Administrative Borrower and its Subsidiaries as of the end of such quarter and the results of operations and cash flows of the Administrative Borrower and its Subsidiaries for such quarter and for such year-to- date period, in accordance with GAAP applied in a manner consistent with that of the most recent audited financial statements of the Administrative Borrower and its Subsidiaries furnished to the Agents and the Lenders, subject to the absence of footnotes and normal year-end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commencing with the Fiscal Year ending June 30, 2025, within 90 days after the end of each Fiscal Year of the Administrative Borrower and its Subsidiaries, or such longer period as consented to by the Administrative Agent and the Servicing Agent (such consent not to be unreasonably withheld, delayed or conditioned and which may be delivered by email), the consolidated and consolidating balance sheets, consolidated and consolidating statements of income and consolidated and consolidating statements of cash flows of the Administrative Borrower and its Subsidiaries as at the end of such Fiscal Year, setting forth in each case in comparative form the figures for the corresponding date or period set forth in the financial statements for the immediately preceding Fiscal Year, all in reasonable detail and prepared in accordance with GAAP, and accompanied by a report and an opinion, prepared in accordance with generally accepted auditing standards, of Grant Thornton LLP or any other independent certified public accountants of recognized standing selected by the Administrative Borrower and reasonably satisfactory to the Agents (which opinion shall be without (1) a “going concern” or like qualification or exception (other than as a result of (x) the maturity date of any Indebtedness occurring within 12 months of the date of such audit or (y) a prospective financial covenant default under this Agreement or any other agreement evidencing Indebtedness of the Loan Parties) or (2) any qualification or exception as to the scope of such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(iv)    simultaneously with the delivery of the financial statements of the Administrative Borrower and its Subsidiaries (A) required by clauses (ii) and (iii) of this Section 7.01(a), (1) a certificate of an Authorized Officer of the Administrative Borrower substantially in the form of </w:t>
      </w:r>
      <w:r>
        <w:rPr>
          <w:rFonts w:ascii="Times New Roman" w:hAnsi="Times New Roman"/>
          <w:caps w:val="false"/>
          <w:smallCaps w:val="false"/>
          <w:sz w:val="20"/>
          <w:u w:val="single"/>
        </w:rPr>
        <w:t>Exhibit E</w:t>
      </w:r>
      <w:r>
        <w:rPr>
          <w:rFonts w:ascii="Times New Roman" w:hAnsi="Times New Roman"/>
          <w:caps w:val="false"/>
          <w:smallCaps w:val="false"/>
          <w:sz w:val="20"/>
        </w:rPr>
        <w:t xml:space="preserve"> hereto (a “</w:t>
      </w:r>
      <w:r>
        <w:rPr>
          <w:rFonts w:ascii="Times New Roman" w:hAnsi="Times New Roman"/>
          <w:caps w:val="false"/>
          <w:smallCaps w:val="false"/>
          <w:sz w:val="20"/>
          <w:u w:val="single"/>
        </w:rPr>
        <w:t>Compliance Certificate</w:t>
      </w:r>
      <w:r>
        <w:rPr>
          <w:rFonts w:ascii="Times New Roman" w:hAnsi="Times New Roman"/>
          <w:caps w:val="false"/>
          <w:smallCaps w:val="false"/>
          <w:sz w:val="20"/>
        </w:rPr>
        <w:t>”) (which, for the avoidance of doubt, shall include calculations for (x) the covenants set forth in Sections 7.03(a) and 7.03(b) regardless of whether either such covenant is required to be tested for such Fiscal Quarter or Fiscal Year, as applicable and (y) during the period from the Amendment No. 3 Effective Date through March 31, 2028, the determination of the First Out Leverage Ratio), and (2) a management’s discussion and analysis of the important operational and financial developments during the period covered thereby with a comparison to such period during the prior year and to the Projections, and (B) required by clause (iii) of this Section 7.01(a), a certificate of an Authorized Officer of the Administrative Borrower (1) containing a reasonably detailed calculation of Excess Cash Flow for the period covered by such financial statements, and (2) certifying that the disclosures set forth in the Perfection Certificate delivered to the Administrative Agent on the Effective Date remain complete and accurate, or providing the relevant updates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(1) within 45 days after the end of each fiscal month of the Administrative Borrower and its Subsidiaries (other than any fiscal month end that corresponds with the end of any Fiscal Quarter) commencing with the first full fiscal month of the Administrative Borrower and its Subsidiaries ending after the Effective Date until the fiscal month ending December 31, 2025, and (2) within 30 days after the end of each fiscal month thereafter a KPI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as soon as available and in any event within (x) 20 calendar days after the end of each of the first 6 calendar months following the Effective Date, and (y) 15 days after the end of each other calendar month (or as more frequently requested by the Servicing Agent following the occurrence and during the continuance of an Event of Default or at any other time when the Servicing Agent reasonably believes that the then existing Borrowing Base Certificate is materially inaccurate), a Borrowing Base Certificate, current as of the close of business on the last Business Day of the immediately preceding calendar month, with such details as the Servicing Agent may require in its Permitted Discretion, provided that from and after the Borrowing Base Reset Date, the Borrowing Base shall be accompanied by (A) reconciliations of the Accounts as shown on the month</w:t>
        <w:noBreakHyphen/>
        <w:t xml:space="preserve">end Borrowing Base Certificate for the immediately preceding month to the Borrowing Base Parties’ accounts receivable agings, to the Borrowing Base Parties’ general ledger and to the most recent financial statements, (B) a reasonably detailed aged trial balance of the Accounts, specifying the names, addresses, face values, dates of invoices and due dates for each Account Debtor obligated on an Account so listed in a form consistent with reports currently prepared by the Borrowing Base Parties with respect to such information, (C) a reasonably detailed accounts payable aging, (D) reconciliations of the Borrowing Base Parties’ Inventory as shown on the Borrowing Base Parties’ perpetual inventory, to the Borrowing Base Parties’ general ledger and to the financial statements, (E) Inventory reports in such format and detail as the Servicing Agent shall request and that include a current list of all locations of the Borrowing Base Parties’ Inventory, and (F) a schedule of Intellectual Property, in each case with supporting materials as the Servicing Agent shall reasonably request in its Permitted Discretion,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the Borrowing Base set forth in the Borrowing Base Certificate shall be effective from and including the date such Borrowing Base Certificate is duly received by the Servicing Agent but not including the date on which a subsequent Borrowing Base Certificate is received by the Servicing Agent, unless Servicing Agent disputes the eligibility of any property included in the calculation of the Borrowing Base or the valuation thereof by notice of such dispute to the Administrative Borrower, and (B) in the event of any dispute about the eligibility of any property included in the calculation of the Borrowing Base or the valuation thereof, such Servicing Agent's good faith judgment shall control;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upon (1) any sale or other disposition of Collateral, (2) subordination of Collateral Agent’s Liens on Collateral, (3) designation of an Excluded Subsidiary owning Collateral of the type that is included in the Borrowing Base, or (4) release of a Loan Party owning Collateral of the type that is included in the Borrowing Base, it shall be a condition to the consummation of such transaction pursuant to any provision of this Agreement that the Borrower shall concurrently deliver to Servicing Agent an updated Borrowing Base Certificate giving </w:t>
      </w:r>
      <w:r>
        <w:rPr>
          <w:rFonts w:ascii="Times New Roman" w:hAnsi="Times New Roman"/>
          <w:i/>
          <w:caps w:val="false"/>
          <w:smallCaps w:val="false"/>
          <w:sz w:val="20"/>
        </w:rPr>
        <w:t>pro forma</w:t>
      </w:r>
      <w:r>
        <w:rPr>
          <w:rFonts w:ascii="Times New Roman" w:hAnsi="Times New Roman"/>
          <w:caps w:val="false"/>
          <w:smallCaps w:val="false"/>
          <w:sz w:val="20"/>
        </w:rPr>
        <w:t xml:space="preserve"> effect to such disposition, subordination, designation or release demonstrating that Availability will be greater than $0 on a </w:t>
      </w:r>
      <w:r>
        <w:rPr>
          <w:rFonts w:ascii="Times New Roman" w:hAnsi="Times New Roman"/>
          <w:i/>
          <w:caps w:val="false"/>
          <w:smallCaps w:val="false"/>
          <w:sz w:val="20"/>
        </w:rPr>
        <w:t>pro forma</w:t>
      </w:r>
      <w:r>
        <w:rPr>
          <w:rFonts w:ascii="Times New Roman" w:hAnsi="Times New Roman"/>
          <w:caps w:val="false"/>
          <w:smallCaps w:val="false"/>
          <w:sz w:val="20"/>
        </w:rPr>
        <w:t xml:space="preserve"> basis after giving effect to such disposition, subordination, designation or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    not later than 45 days after the end of each Fiscal Year, a certificate of an Authorized Officer of the Administrative Borrower (A) attaching Projections for the Administrative Borrower and its Subsidiaries, supplementing and superseding the Projections previously required to be delivered pursuant to this Agreement, prepared on a monthly basis and otherwise in form consistent with the Projections given on or prior to the Effective Date (or otherwise reasonably acceptable to the Agents), for the immediately succeeding Fiscal Year for the Administrative Borrower and its Subsidiaries and (B) certifying that the representations and warranties set forth in Section 6.01(g)(ii) are true and correct with respect to the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(viii)    promptly after submission to any Governmental Authority, all documents and written information furnished to such Governmental Authority in connection with any investigation or Adverse Proceeding of any Loan Party to the extent such investigation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(ix)    as soon as possible, and in any event within 5 Business Days after the occurrence of an Event of Default or Default, material violation of Healthcare Laws or the occurrence of any event or development that could reasonably be expected to have a Material Adverse Effect, the written statement of an Authorized Officer of the Administrative Borrower setting forth the details of such Event of Default or Default, material violation or other event or development having a Material Adverse Effect and the action which the affected Loan Party proposes to take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    as soon as possible and in any event: (A) within 5 days after the occurrence of any ERISA Event, notice of such ERISA Event (in reasonable detail), (B) within 3 Business Days after receipt thereof by any Loan Party or any of its ERISA Affiliates from the PBGC, copies of each notice received by any Loan Party or any of its ERISA Affiliates of the PBGC’s intention to terminate any Pension Plan or to have a trustee appointed to administer any Pension Plan, (C) within 10 days after receipt thereof by any Loan Party or any of its ERISA Affiliates from a sponsor of a Multiemployer Plan or from the PBGC, a copy of each notice received by any Loan Party or any of its ERISA Affiliates concerning the imposition or amount of withdrawal liability under Section 4202 of ERISA and (D) within 10 days after any Loan Party sends notice of a plant closing or mass layoff (as defined in the Worker Adjustment and Retraining Notification Act) to employees, copies of each such notice sent by such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    promptly after the commencement thereof but in any event not later than 5 days after service of process with respect thereto on, or the obtaining of knowledge thereof by, any Loan Party, notice of each action, Adverse Proceeding, development in any pending or ongoing investigation, suit or proceeding before any court or other Governmental Authority or other regulatory body or any arbitrator which, if adversely determined,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(xii)    within 30 days after the end of each fiscal month of the Administrative Borrower and its Subsidiaries commencing with the first fiscal month of the Administrative Borrower and its Subsidiaries ending after the Effective Date, (x) reports in form and detail reasonably satisfactory to the Agents and the Required Revolving Lenders and certified by an Authorized Officer of the Administrative Borrower as being accurate and complete (A) listing all Accounts of the Administrative Borrower and its Subsidiaries as of such day, which shall include the amount and age of each such Account, showing separately those which are 1 to 30, more than 30, more than 60, 60 to 90 and more than 90 days since the applicable due date and listing all set-offs, together with a reconciliation of such schedule with the schedule delivered to the Agents pursuant to this clause (v)(A) for the immediately preceding fiscal month, (B) listing all accounts payable of the Administrative Borrower and its Subsidiaries as of each such day which shall include the amount and age of each such account payable, and such other information as any Agent may reasonably request, (C) listing all Inventory of the Administrative Borrower and its Subsidiaries as of each such day in form an substance consistent with the manner in which such information is reported in the Borrowing Base Certificate, and including a listing of perpetual Inventory and (D) listing the aggregate value of all Dispositions of any fixed asset with a fair market value in excess of $50,000 by the Administrative Borrower and its Subsidiaries consummated during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(xiii)    within 5 Business Days after the occurrence of any termination, cancellation or material limitation of, or material adverse modification to or material adverse change in, the business relationship (in each case, in the good faith determination of the Loan Parties) between the Loan Parties, on the one hand, and any material customer or supplier of the Loan Parties (for which aggregate consideration payable to or by such customer or supplier pursuant to contractual relationships between such customer or supplier and the Loan Parties exceeds $10,000,000 in any Fiscal Year), on the other hand, the written statement of an Authorized Officer of the Administrative Borrower setting forth the details of such event and the action which the Loan Parties propose to take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(xiv)    (A) promptly following any request therefor, such other information and documentation reasonably requested by any Agent or any Lender for purposes of compliance with applicable “know your customer” requirements under the USA PATRIOT ACT, the Beneficial Ownership Regulation or other applicable Anti-Corruption Laws, Anti-Money Laundering Laws, and Anti-Terrorism Laws (including those passed pursuant to the USA PATRIOT ACT), and (B) promptly after any change in the information provided in the most recently delivered Beneficial Ownership Certification that would result in a change to the list of beneficial owners identified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    promptly after (A) the sending or filing thereof, copies of all material statements, reports and other written information any Loan Party sends to any holders of its Indebtedness in an aggregate principal amount in excess of $5,000,000 or files with the SEC or any national (domestic or foreign) securities exchange and (B) the receipt thereof, a copy of any material notice received from any holder of such Indebtedness specified in clause (A) above (subject to confidentiality obligations to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    promptly upon receipt thereof, copies of all financial reports (including, without limitation, management letters), if any, submitted to any Loan Party by its auditors in connection with any annual or interim audit of the books (subject to confidentiality obligations to such auditors, in which case redacted summaries of such information shall be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(xvii)    promptly upon request, any certification or other evidence reasonably requested from time to time by any Lender, confirming the Loan Parties’ compliance with Section 7.02(r);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(xviii)    simultaneously with the delivery of the financial statements of the Administrative Borrower and its Subsidiaries required by clauses (i), (ii) and (iii) of this Section 7.01(a), if, as a result of any change in accounting principles and policies from those used in the preparation of the Financial Statements that is permitted by Section 7.02(q), the consolidated financial statements of the Administrative Borrower and its Subsidiaries delivered pursuant to clauses (i), (ii) and (iii) of this Section 7.01(a) will materially differ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 financial statements in form and substance reasonably satisfactory to the Agents;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(xix)    promptly upon request, such other information concerning the condition or operations, financial or otherwise, of any Loan Party as any Agent may from time to time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 event shall the requirements of this Section 7.01 or any other provision of this Agreement or any other Loan Document require any Loan Party or any of its Subsidiaries to provide any information or document (A) in respect of which disclosure to any Agent or any Lender (or their respective representatives or contractors) is prohibited by Requirements of Law or third party confidentiality obligations, (B) which is subject to attorney-client or similar privilege or constitutes attorney work product, or (C) that constitutes a third party’s non-financial trade secret or a third party’s non-financial proprietary information, in which case (in the case of each of clauses (A), (B) and (C)) redacted summaries of such information or document shall be provided (to the extent permitted by such Requirements of Law or confidentiality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information required to be delivered pursuant to this Section 7.01(a) (to the extent any such information is included in Forms 10-K or 10-Q or otherwise filed with the SEC) may be delivered electronically and, shall be deemed to have been delivered on the date (i) on which the Administrative Borrower posts such information, or provides a link thereto to the Administrative Borrower’s website, (ii) when such information is posted electronically on the Administrative Borrower’s behalf on an internet or intranet website to which each Lender and the Administrative Agent have access (whether a commercial, third-party website or whether sponsored by the Administrative Agent), if any; or (iii) on which the Administrative Borrower files such Form 10-K, Form 10-Q or other report, as applicable, with the SEC and such documents are publicly available on the SEC’s EDGAR filing system or any successor thereto, if any; provided that, in the case of clauses (i) and (ii), (A) the Administrative Borrower shall deliver copies of such documents to the Administrative Agent upon its request to the Administrative Borrower to deliver such copies until written request to cease delivering paper copies is given by the Administrative Agent and (B) the Administrative Borrower shall notify (which may be by facsimile or electronic mail) the Administrative Agent of the posting of any such documents. The Administrative Agent shall have no obligation to request the delivery of or to maintain paper copies of the documents referred to above, and in any event shall have no responsibility to monitor compliance by the Administrative Borrower with any such request by a Lender for delivery, and each Lender shall be solely responsible for requesting delivery to it or maintaining its copies of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Additional Borrowers, Guarantors and Collateral Security</w:t>
      </w:r>
      <w:r>
        <w:rPr>
          <w:rFonts w:ascii="Times New Roman" w:hAnsi="Times New Roman"/>
          <w:caps w:val="false"/>
          <w:smallCaps w:val="false"/>
          <w:sz w:val="20"/>
        </w:rPr>
        <w:t>.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each Subsidiary (other than Excluded Subsidiaries) of such Loan Party not in existence on the Effective Date, or formed or acquired (whether in connection with a Permitted Acquisition or otherwise) or that has a change in status thereafter (i.e., is no longer an Excluded Subsidiary or an Immaterial Subsidiary), to execute and deliver to the Collateral Agent promptly and in any event within 20 Business Days (or such later date agreed to by the Collateral Agent in its reasonable discretion) after the formation, acquisition or change in status thereof, (A) a Joinder Agreement, pursuant to which such Subsidiary shall be made a party to this Agreement as a Borrower or a Guarantor, (B) a supplement to the Security Agreement or other Foreign Security Document, as applicable, together with (x) certificates evidencing all of the Equity Interests of any Person owned by such Subsidiary required to be pledged or charged under the terms of the Security Agreement or other Foreign Security Document, as applicable, and (y) undated stock powers or other appropriate instruments of transfer for such Equity Interests executed in blank, (C) [reserved], and (D) subject to the terms and conditions herein and the other Loan Documents, such other agreements, opinions, instruments, approvals or other documents reasonably requested by the Collateral Agent in order to create, perfect (if and to the extent required to be perfected under the Loan Documents), establish the first priority (subject to Permitted Specified Liens) of or otherwise protect any Lien purported to be covered by any such Security Document or otherwise to effect the intent that such Subsidiary shall become bound by all of the terms, covenants and agreements contained in the Loan Documents and that all Collateral (as described under this clause (b)(i)) of such Subsidiary shall secure the Obligations (to the extent required under the Loan Documents) (which such scope of documents shall be, in the case of a Subsidiary organized in a jurisdiction outside of the United States, substantially similar to the scope of the applicable Foreign Security Documents);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each Loan Party who is an owner of the Equity Interests in any such Subsidiary (as described in clause (b)(i) above) to execute and deliver promptly and in any event within 20 Business Days after the formation or acquisition of such Subsidiary a Pledge Amendment (as defined in the Security Agreement) (if applicable), together with (A) any certificates evidencing all of the Equity Interests of such Subsidiary to the extent required to be pledged or charged under the terms of the Security Documents, (B) undated stock powers or other appropriate instruments of transfer or assignment for such Equity Interests executed in blank, and (C) such other agreements, opinions, instruments, approvals or other documents reasonably requested by the Collateral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foregoing, no Excluded Subsidiary shall be required to become a Guarantor hereunder (and, as such, shall not be required to deliver the documents required by clause (i) above) and, as of the Effective Date, no Subsidiary organized or registered outside of a Specified Jurisdiction shall be required to become a Guarantor hereunder;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 if the Equity Interests of an Excluded Subsidiary are directly owned by a Loan Party, such Loan Party shall deliver all such documents, instruments, agreements (including, without limitation, at the reasonable request of the Collateral Agent, a pledge agreement or other security agreement governed by the laws of the jurisdiction of organization of such Excluded Subsidiary) and certificates described in clause (ii) above to the Collateral Agent, and take all commercially reasonable actions reasonably requested by the Collateral Agent or otherwise necessary to grant and to perfect a first-priority Lien (subject to Permitted Specified Liens) in favor of the Collateral Agent, for the benefit of the Agents and the Lenders, in 100% of the Equity Interests of such Excluded Subsidiary or, if less, the full amount owned by that Loan Party, of the issued and outstanding Equity Interests owned by such Loan Party (it being understood and agreed that no Loan Party shall be required to execute any security agreement, pledge agreement or other collateral document governed by the laws of any jurisdiction other than the jurisdiction of a Loan Party); except to the extent the Administrative Borrower, Administrative Agent and Servicing Agent jointly and reasonably determine that there are likely to be material adverse tax consequences as a result of granting and perfecting such a first-priority Lien, or that the burden or cost (including any adverse tax consequences) of granting and perfecting such a first-priority Lien will be excessive in relation to the benefits to be obtained by the Lenders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Collateral Agent may grant extensions of time for the creation or perfection of security interests in or the obtaining of insurance with respect to particular assets if and to the extent that the Collateral Agent reasonably determines, in consultation with the Administrative Borrower, that creation or perfection cannot be accomplished without undue burden, effort or expense by the time or times at which it would otherwise be required by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Loan Parties shall not be required to take any action to create or perfect the security interest of the Collateral Agent in Excluded Property, except to the extent required pursuant to the terms of the Security Agreement or applicable Foreign Security Document,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Compliance with Laws; Payment of Taxes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Comply, and cause each of its Subsidiaries to comply, with all Requirements of Law, Healthcare Law, judgments and awards (including any settlement of any claim that, if breached, could give rise to any of the foregoing), except to the extent the failure to so comply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Maintain, implement, and (where required to ensure compliance in all material respects with changes to Healthcare Law) revise, as well as cause each of its Subsidiaries to maintain, implement, and (where required to ensure compliance in all material respects with changes to Healthcare Law) revise, a corporate and healthcare regulatory compliance program that addresses the material requirements of Healthcare Laws and material compliance with guidance issued by the Department of Health and Human Services, Office of Inspector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Pay, and cause each of its Subsidiaries to pay, in full before delinquency or before the expiration of any extension period, as the case may be, all Taxes imposed upon any Loan Party or any of its Subsidiaries or any property of any Loan Party or any of its Subsidiaries, except (i) unpaid Taxes in an aggregate amount at any one time not in excess of $1,000,000, and (ii) for Taxes that are being contested in good faith by proper proceedings and with respect to which adequate reserves have been set aside for the payment thereof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Preservation of Existence,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Maintain and preserve, and cause each of its Subsidiaries to maintain and preserve, its existence (except to the extent permitted by Section 7.02(c)), rights and privileges.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Become or remain, and cause each of its Subsidiaries to become or remain, duly qualified and (where such concept is recognized under the laws of the relevant jurisdiction) in good standing in each jurisdiction in which the character of the properties owned or leased by it or in which the transaction of its business makes such qualification necessary, except to the extent that the failure to be so qualified or in good standing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Keeping of Records and Books of Account</w:t>
      </w:r>
      <w:r>
        <w:rPr>
          <w:rFonts w:ascii="Times New Roman" w:hAnsi="Times New Roman"/>
          <w:caps w:val="false"/>
          <w:smallCaps w:val="false"/>
          <w:sz w:val="20"/>
        </w:rPr>
        <w:t>. Keep, and cause each of its Subsidiaries to keep, adequate records and books of account, with complete entries made to permit the preparation of financial statements in accordance in all material respects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Inspection Rights</w:t>
      </w:r>
      <w:r>
        <w:rPr>
          <w:rFonts w:ascii="Times New Roman" w:hAnsi="Times New Roman"/>
          <w:caps w:val="false"/>
          <w:smallCaps w:val="false"/>
          <w:sz w:val="20"/>
        </w:rPr>
        <w:t xml:space="preserve">. In addition to the Servicing Agent’s rights pursuant to Section 7.01(z) and 7.01(cc), permit, and cause each of its Subsidiaries to permit, the agents and representatives of the Administrative Agent and the Servicing Agent at any time and from time to time during normal business hours following (so long as no Event of Default shall have occurred and be continuing) reasonable advance notice, at the expense of the Borrowers, to examine and make copies of and abstracts from its records and books of account, to visit and inspect its properties and to discuss its affairs, finances and accounts with any of its directors, officers, managerial employees, independent accountants or any of its other representatives, in each case, subject to the confidentiality obligations incurred in the ordinary course of business (to the extent not made in contemplation hereof), applicable law and the preservation of attorney-client privilege or attorney work product;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only the Administrative Agent and the Servicing Agent, jointly on behalf of the Lenders may exercise the rights of the Administrative Agent and the Servicing Agent and the Lenders under this Section 7.01(f), (b) upon the occurrence and during the continuance of an Event of Default, the Administrative Agent and Servicing Agent may (or any of its representatives or independent contractors identified to the Administrative Borrower) do any of the foregoing at the expense of the Borrowers at any time during normal business hours, and (c) unless an Event of Default has occurred and is continuing, the Administrative Agent and Servicing Agent shall not exercise such rights more often than one time during any calendar year. In furtherance of the foregoing, each Loan Party hereby authorizes its independent accountants, and the independent accountants of each of its Subsidiaries, to discuss the affairs, finances and accounts of such Person (independently (so long as the Administrative Borrower is given the opportunity to participate) or together with representatives of such Person) with the agents and representatives of any Agent in accordance with this Section 7.01(f).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Maintenance of Properties, Etc.</w:t>
      </w:r>
      <w:r>
        <w:rPr>
          <w:rFonts w:ascii="Times New Roman" w:hAnsi="Times New Roman"/>
          <w:caps w:val="false"/>
          <w:smallCaps w:val="false"/>
          <w:sz w:val="20"/>
        </w:rPr>
        <w:t xml:space="preserve"> Maintain and preserve, and cause each of its Subsidiaries to maintain and preserve, all of its properties which are necessary or useful in the proper conduct of its business in good working order and condition, ordinary wear and tear and casualty and condemnation excepted, except to the extent any such failure to maintain and preserve such properties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Maintenance of Insurance</w:t>
      </w:r>
      <w:r>
        <w:rPr>
          <w:rFonts w:ascii="Times New Roman" w:hAnsi="Times New Roman"/>
          <w:caps w:val="false"/>
          <w:smallCaps w:val="false"/>
          <w:sz w:val="20"/>
        </w:rPr>
        <w:t>. Maintain, and cause each of its Subsidiaries to maintain, insurance with responsible and reputable insurance companies or associations (including, without limitation, comprehensive general liability, hazard, flood, rent, worker’s compensation and business interruption insurance) with respect to the Collateral and its other properties (including all real property leased or owned by it) and business, in such amounts and covering such risks as is (i) carried generally in accordance with sound business practice by companies in similar businesses similarly situated, (ii) required by any Requirement of Law, and (iii) in any event, in amount, adequacy and scope reasonably satisfactory to the Collateral Agent (it being acknowledged and agreed that the amount, adequacy and scope of the insurance maintained by the Loan Parties and their Subsidiaries on the Effective Date is reasonably satisfactory to the Collateral Agent). All policies covering the Collateral are to be made payable to the Collateral Agent for the benefit of the Agents and the Lenders, as their interests may appear, in case of loss, under a standard non-contributory “lender” or “secured party” clause and are to contain such other provisions as the Collateral Agent may require to fully protect the Lenders’ interest in the Collateral and to any payments to be made under such policies (it being understood and agreed that, so long as no Event of Default shall have occurred and be continuing, any such payments received by the Collateral Agent shall be turned over to the Administrative Borrower for application by the Borrowers to the Loans in accordance with Section 2.05(c)(iv) or reinvestment in accordance with Section 2.05(c)(v)). All certificates of insurance are to be delivered to the Collateral Agent and the premiums for such policies are to be paid when due, with the loss payable and additional insured endorsement in favor of the Collateral Agent for the benefit of the Agents and the Lenders, as their respective interests may appear, and shall provide for not less than 30 days (10 days in the case of non-payment) prior written notice to the Collateral Agent of the exercise of any right of cancellation. If any Loan Party or any of its Subsidiaries fails to maintain such insurance, upon not less than 5 Business Days prior written notice to the Administrative Borrower, the Collateral Agent may arrange for such insurance, but at the Borrowers’ expense and without any responsibility on the Collateral Agent’s part for obtaining the insurance, the solvency of the insurance companies, the adequacy of the coverage, or the collection of claims. Upon the occurrence and during the continuance of an Event of Default, the Collateral Agent shall have the sole right, in the name of the Lenders, any Loan Party and its Subsidiaries,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 The insurance maintained as of the Effective Date satisfies the terms of this Section 7.01(h).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Obtaining of Permits, Etc.</w:t>
      </w:r>
      <w:r>
        <w:rPr>
          <w:rFonts w:ascii="Times New Roman" w:hAnsi="Times New Roman"/>
          <w:caps w:val="false"/>
          <w:smallCaps w:val="false"/>
          <w:sz w:val="20"/>
        </w:rPr>
        <w:t xml:space="preserve"> Obtain, maintain and preserve, and cause each of its Subsidiaries to obtain, maintain and preserve, and take all necessary action to timely renew, all permits, licenses, authorizations, approvals, entitlements and accreditations that are required in the proper conduct of its business, in each case, except to the extent the failure to obtain, maintain, preserve or take such action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Environmental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Keep the Collateral free of any Environmental Lien (other than a Permitted Lien) that could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Obtain, maintain and preserve, and cause each of its Subsidiaries to obtain, maintain and preserve, and take all necessary action to timely renew, all Environmental Permits that are necessary for the proper conduct of its business, and comply, and cause each of its Subsidiaries to comply, with all Environmental Laws and Environmental Permits, except to the extent the failure to so obtain, maintain, preserve, renew or comply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Take all commercially reasonable steps to prevent any Release of Hazardous Materials in violation of any Environmental Law or Environmental Permit at, on, under or from any property owned, leased or operated by any Loan Party or its Subsidiaries that could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Provide the Collateral Agent and Servicing Agent with written notice within 10 days of any of the following: (A) discovery of any Release of a Hazardous Material or environmental contamination condition at, on, under or from any property currently or formerly owned, leased or operated by any Loan Party, Subsidiary or predecessor in interest or any violation of Environmental Law or Environmental Permit that in any case could reasonably be expected to result in a Material Adverse Effect; (B) receipt of notice that an Environmental Lien has been filed against any Collateral (other than a Permitted Lien); or (C) receipt of notice of an Environmental Claim or Environmental Liabilities that could reasonably be expected to result in a Material Adverse Effect; and provide such reports, documents and information as the Collateral Agent or Servicing Agent may reasonably request from time to time with respect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Fiscal Year</w:t>
      </w:r>
      <w:r>
        <w:rPr>
          <w:rFonts w:ascii="Times New Roman" w:hAnsi="Times New Roman"/>
          <w:caps w:val="false"/>
          <w:smallCaps w:val="false"/>
          <w:sz w:val="20"/>
        </w:rPr>
        <w:t>. Cause the Fiscal Year of the Administrative Borrower and its Subsidiaries to end on June 30th of each calendar year unless the Agents consent to a change in such Fiscal Year (and appropriate related changes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Landlord Waivers; Collateral Access Agreements</w:t>
      </w:r>
      <w:r>
        <w:rPr>
          <w:rFonts w:ascii="Times New Roman" w:hAnsi="Times New Roman"/>
          <w:caps w:val="false"/>
          <w:smallCaps w:val="false"/>
          <w:sz w:val="20"/>
        </w:rPr>
        <w:t>. Use commercially reasonable efforts to deliver to the Collateral Agent a landlord waiver or collateral access agreement, in form and substance reasonably satisfactory to the Collateral Agent and Servicing Agent, executed by each landlord, bailee, warehouseman, or similar party with respect to each of the Loan Parties’ leases for real property and each premises of a bailee, warehouseman, or similar party on a commercially reasonable efforts basis, where the Loan Parties’ books and records are located and/or tangible Collateral with a book value in excess of $2,500,000 (when aggregated with all other Collateral at the same location) is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Hedging Agreements</w:t>
      </w:r>
      <w:r>
        <w:rPr>
          <w:rFonts w:ascii="Times New Roman" w:hAnsi="Times New Roman"/>
          <w:caps w:val="false"/>
          <w:smallCaps w:val="false"/>
          <w:sz w:val="20"/>
        </w:rPr>
        <w:t>. Within thirty (30) days after the Effective Date (or such later date as may be agreed by the Administrative Agent in its reasonable discretion, which such later date shall not be later than forty-five (45) days after the Effective Date), enter into and maintain Hedging Agreements with respect to the Administrative Borrowers’ and each of its Subsidiaries’ Foreign Currency Exposure in accordance with this Section 7.01(m), and not for speculative purposes, (such Hedging Agreements, the “</w:t>
      </w:r>
      <w:r>
        <w:rPr>
          <w:rFonts w:ascii="Times New Roman" w:hAnsi="Times New Roman"/>
          <w:caps w:val="false"/>
          <w:smallCaps w:val="false"/>
          <w:sz w:val="20"/>
          <w:u w:val="single"/>
        </w:rPr>
        <w:t>Foreign Currency Exposure Hedging Agreements</w:t>
      </w:r>
      <w:r>
        <w:rPr>
          <w:rFonts w:ascii="Times New Roman" w:hAnsi="Times New Roman"/>
          <w:caps w:val="false"/>
          <w:smallCaps w:val="false"/>
          <w:sz w:val="20"/>
        </w:rPr>
        <w:t>”). The amount of Foreign Currency Exposure Hedging Agreements shall be sufficient to cover, but shall not exceed, the lesser of (i) the Hedge Cap, and (ii) 80.0% of the Foreign Currency Exposure for the 12-month period following each date of determination and 60.0% of the Foreign Currency Exposure for the 13-24-month period following each date of determination (or in each case such lesser amount as may be necessary to ensure that all such Hedging Agreements receive hedge accounting treatment as reasonably determined by the Administrative Borrower and agreed by the Administrative Agent). The Administrative Borrower shall determine the Foreign Currency Exposure on the last Business Day of each fiscal month, which determination shall be certified to the Agents and the Lenders by providing an officer’s certificate as to such determination and a comparison to the foreign currency exposure that the Borrowers had previously projected for such date, and the Administrative Borrower shall adjust the amount of the applicable Foreign Currency Exposure Hedging Agreements within five Business Days following each such determination to the extent necessary to comply with this Section 7.01(m).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Anti-Corruption Laws, Anti-Money Laundering Laws and Sanctions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Maintain, and cause each of its Subsidiaries to maintain, policies and procedures designed to promote compliance by each Loan Party, its Subsidiaries and their respective directors, officers, employees and agents with all applicable Anti-Corruption Laws, Anti-Money Laundering Laws, Sanctions and Trade Control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Comply, and cause each of its Subsidiaries to comply, (A) in all material respects with all applicable Anti-Corruption Laws, Anti-Money Laundering Laws and Trade Control Laws and (B) in all respects with applicable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Lender Meetings</w:t>
      </w:r>
      <w:r>
        <w:rPr>
          <w:rFonts w:ascii="Times New Roman" w:hAnsi="Times New Roman"/>
          <w:caps w:val="false"/>
          <w:smallCaps w:val="false"/>
          <w:sz w:val="20"/>
        </w:rPr>
        <w:t>. Promptly following the request of any Agent, the Required Revolving Lenders or the Required Lenders, participate in (A) an in-person meeting (which request, so long as no Event of Default shall have occurred and be continuing, shall not be made more than once during each Fiscal Year) with the Agents and the Lenders, and (B) a telephonic meeting (which request, so long as no Event of Default shall have occurred and be continuing, shall not be made more than once during each calendar quarter) with the Agents and the Lenders, in each case, at such times as may be agreed to by the Administrative Borrower and such Agent, the Required Revolving Lenders or the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caps w:val="false"/>
          <w:smallCaps w:val="false"/>
          <w:sz w:val="20"/>
          <w:u w:val="single"/>
        </w:rPr>
        <w:t>Board Observation Rights</w:t>
      </w:r>
      <w:r>
        <w:rPr>
          <w:rFonts w:ascii="Times New Roman" w:hAnsi="Times New Roman"/>
          <w:caps w:val="false"/>
          <w:smallCaps w:val="false"/>
          <w:sz w:val="20"/>
        </w:rPr>
        <w:t>. The Administrative Agent shall have the right to appoint two non-voting observers reasonably acceptable to the Parent to attend all meetings of the whole Board of Directors of the Parent in a non-voting observer capacity (each, an “</w:t>
      </w:r>
      <w:r>
        <w:rPr>
          <w:rFonts w:ascii="Times New Roman" w:hAnsi="Times New Roman"/>
          <w:caps w:val="false"/>
          <w:smallCaps w:val="false"/>
          <w:sz w:val="20"/>
          <w:u w:val="single"/>
        </w:rPr>
        <w:t>Observer</w:t>
      </w:r>
      <w:r>
        <w:rPr>
          <w:rFonts w:ascii="Times New Roman" w:hAnsi="Times New Roman"/>
          <w:caps w:val="false"/>
          <w:smallCaps w:val="false"/>
          <w:sz w:val="20"/>
        </w:rPr>
        <w:t>” and collectively, the “</w:t>
      </w:r>
      <w:r>
        <w:rPr>
          <w:rFonts w:ascii="Times New Roman" w:hAnsi="Times New Roman"/>
          <w:caps w:val="false"/>
          <w:smallCaps w:val="false"/>
          <w:sz w:val="20"/>
          <w:u w:val="single"/>
        </w:rPr>
        <w:t>Observers</w:t>
      </w:r>
      <w:r>
        <w:rPr>
          <w:rFonts w:ascii="Times New Roman" w:hAnsi="Times New Roman"/>
          <w:caps w:val="false"/>
          <w:smallCaps w:val="false"/>
          <w:sz w:val="20"/>
        </w:rPr>
        <w:t xml:space="preserve">”). Each Observer shall be timely notified of the time of any such board meeting and will be given written notice of all proposed actions to be taken by the Board of Directors at such board meeting as if such Observer were a member thereof. Each Observer shall have the right to receive all information provided to the members of the Board of Directors or any committee thereof performing an executive oversight or similar function of the Parent in anticipation of or at such board meeting, and such Observer shall keep such materials and information confidential in accordance with a confidentiality agreement in a form and substance reasonably acceptable to the Parent;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receipt of such materials and information and attendance at such meetings by the Observers shall be subject to entry into such confidentiality agreement.. The Parent shall reimburse each Observer for all reasonable and documented out-of-pocket costs and expenses incurred in connection with his or her participation in any such board meeting in accordance with the same procedures as for members of the board. Notwithstanding the foregoing, with respect to any board meeting or any such materials or information, in the event that the Board of Directors determines in good faith that a conflict of interest exists with such Observer, including in connection with discussions regarding the refinancing or repayment of, covenant negotiations with respect to, defaults under or amendment, waiver or forbearance negotiations with respect to, the Loan Documents, then the Board of Directors reserves the right to exclude such Observer from access to such discussions and any materials and information related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caps w:val="false"/>
          <w:smallCaps w:val="false"/>
          <w:sz w:val="20"/>
          <w:u w:val="single"/>
        </w:rPr>
        <w:t>Outbound Investment Rules</w:t>
      </w:r>
      <w:r>
        <w:rPr>
          <w:rFonts w:ascii="Times New Roman" w:hAnsi="Times New Roman"/>
          <w:caps w:val="false"/>
          <w:smallCaps w:val="false"/>
          <w:sz w:val="20"/>
        </w:rPr>
        <w:t>. The Administrative Borrower will not, and will not permit any of its Subsidiaries to, (a) be or become a “covered foreign person”, as that term is defined in the Outbound Investment Rules, or (b) engage, directly or indirectly, in any activity that would cause the Administrative Agent, the Servicing Agent and/or the Lenders to be in violation of the Outbound Investment Rules or cause the Administrative Agent, the Servicing Agent and/or the Lenders to be legally prohibited by the Outbound Investment Rules from performing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caps w:val="false"/>
          <w:smallCaps w:val="false"/>
          <w:sz w:val="20"/>
          <w:u w:val="single"/>
        </w:rPr>
        <w:t>Further Assurances</w:t>
      </w:r>
      <w:r>
        <w:rPr>
          <w:rFonts w:ascii="Times New Roman" w:hAnsi="Times New Roman"/>
          <w:caps w:val="false"/>
          <w:smallCaps w:val="false"/>
          <w:sz w:val="20"/>
        </w:rPr>
        <w:t>. Subject to the terms and conditions herein, take such action and execute, acknowledge and deliver, and cause each of its Subsidiaries to take such action and execute, acknowledge and deliver, at its sole cost and expense, such agreements, instruments or other documents as any Agent may reasonably require from time to time in order (i) to carry out more effectively the purposes of this Agreement and the other Loan Documents, (ii) to subject to valid and perfected (if and to the extent required to be perfected under the Loan Documents) first priority Liens (subject to Permitted Liens) any of the Collateral, (iii) to establish and maintain the validity and effectiveness of any of the Loan Documents and the validity, perfection (if and to the extent required to be perfected under the Loan Documents) and priority of the Liens (subject to Permitted Liens) intended to be created thereby, and (iv) to better assure, convey, grant, assign, transfer and confirm unto each Secured Party the rights now or hereafter intended to be granted to it under this Agreement or any other Loan Document. In furtherance of the foregoing, to the maximum extent permitted by applicable law, each Loan Party (i) authorizes each Agent to execute any such agreements, instruments or other documents in such Loan Party’s name and to file such agreements, instruments or other documents in any appropriate filing office during the existence of an Event of Default, (ii) authorizes each Agent to file any financing statement required hereunder or under any other Loan Document, and any continuation statement or amendment with respect thereto, in any appropriate filing office without the signature of such Loan Party, and (iii) ratifies the filing of any financing statement, and any continuation statement or amendment with respect thereto, filed without the signature of such Loan Party prior to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caps w:val="false"/>
          <w:smallCaps w:val="false"/>
          <w:sz w:val="20"/>
          <w:u w:val="single"/>
        </w:rPr>
        <w:t>Senior Debt</w:t>
      </w:r>
      <w:r>
        <w:rPr>
          <w:rFonts w:ascii="Times New Roman" w:hAnsi="Times New Roman"/>
          <w:caps w:val="false"/>
          <w:smallCaps w:val="false"/>
          <w:sz w:val="20"/>
        </w:rPr>
        <w:t>. Take all such actions that are necessary, reasonably desirable or that otherwise may be reasonably requested by the Administrative Agent to ensure that the Obligations are and remain “Designated Senior Debt,” “Senior Debt,” “Guarantor Senior Debt” or “Senior Secured Financing” (or any comparable term) under, and as defined in, any indenture or document governing any applicable Restricted Indebtedness and any other Indebtedness that is subordinated in right of payment to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caps w:val="false"/>
          <w:smallCaps w:val="false"/>
          <w:sz w:val="20"/>
          <w:u w:val="single"/>
        </w:rPr>
        <w:t>Information Regarding Collateral</w:t>
      </w:r>
      <w:r>
        <w:rPr>
          <w:rFonts w:ascii="Times New Roman" w:hAnsi="Times New Roman"/>
          <w:caps w:val="false"/>
          <w:smallCaps w:val="false"/>
          <w:sz w:val="20"/>
        </w:rPr>
        <w:t>. Promptly (and in any event within ten (10) Business Days (or such later date as the Administrative Agent may agree)) provide the Administrative Agent with written notice of any change: (i) in any Loan Party’s corporate name; (ii) in any Loan Party’s identity or corporate structure; (iii) in any Loan Party’s jurisdiction or organization; or (iv) in any Loan Party’s Federal Taxpayer Identification Number or state organizational identification number. Each Loan Party agrees not to effect or permit any change referred to in the preceding sentence unless all filings have been made under the UCC or otherwise that are required in order for the Administrative Agent to continue at all times following such change to have a valid, legal and perfected security interest in all the Collateral as contemplated in the Security Documents. Each Loan Party also agrees promptly to notify the Administrative Agent if any material portion of the Collateral is damaged or destroyed.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(u)    </w:t>
      </w:r>
      <w:r>
        <w:rPr>
          <w:rFonts w:ascii="Times New Roman" w:hAnsi="Times New Roman"/>
          <w:caps w:val="false"/>
          <w:smallCaps w:val="false"/>
          <w:sz w:val="20"/>
          <w:u w:val="single"/>
        </w:rPr>
        <w:t>Post-Closing Matters</w:t>
      </w:r>
      <w:r>
        <w:rPr>
          <w:rFonts w:ascii="Times New Roman" w:hAnsi="Times New Roman"/>
          <w:caps w:val="false"/>
          <w:smallCaps w:val="false"/>
          <w:sz w:val="20"/>
        </w:rPr>
        <w:t xml:space="preserve">. Notwithstanding anything to the contrary contained in this Agreement or the other Loan Documents, the parties hereto acknowledge and agree that within the time periods set forth on </w:t>
      </w:r>
      <w:r>
        <w:rPr>
          <w:rFonts w:ascii="Times New Roman" w:hAnsi="Times New Roman"/>
          <w:caps w:val="false"/>
          <w:smallCaps w:val="false"/>
          <w:sz w:val="20"/>
          <w:u w:val="single"/>
        </w:rPr>
        <w:t>Schedule 7.01(u)</w:t>
      </w:r>
      <w:r>
        <w:rPr>
          <w:rFonts w:ascii="Times New Roman" w:hAnsi="Times New Roman"/>
          <w:caps w:val="false"/>
          <w:smallCaps w:val="false"/>
          <w:sz w:val="20"/>
        </w:rPr>
        <w:t xml:space="preserve">, or within such longer period or periods that the Administrative Agent in its sole discretion may permit, the Loan Parties and their Subsidiaries shall deliver to the Administrative Agent or Lenders, as applicable, the documents, and perform the actions as set forth on </w:t>
      </w:r>
      <w:r>
        <w:rPr>
          <w:rFonts w:ascii="Times New Roman" w:hAnsi="Times New Roman"/>
          <w:caps w:val="false"/>
          <w:smallCaps w:val="false"/>
          <w:sz w:val="20"/>
          <w:u w:val="single"/>
        </w:rPr>
        <w:t>Schedule 7.01(u)</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Line of Business</w:t>
      </w:r>
      <w:r>
        <w:rPr>
          <w:rFonts w:ascii="Times New Roman" w:hAnsi="Times New Roman"/>
          <w:caps w:val="false"/>
          <w:smallCaps w:val="false"/>
          <w:sz w:val="20"/>
        </w:rPr>
        <w:t>. Engage solely in the lines of business substantially similar to those lines of business conducted by the Borrower or any of their Subsidiaries on the Effective Date or any business or any other activities that are not materially different from the foregoing or that are reasonably similar, ancillary, incidental, complementary, synergistic, corollary or related to, or a reasonable extension, development or expansion of, the businesses conducted or proposed to be conducted by any Loan Party or any of their Subsidiaries on the Effective Date (and non-core incidental businesses acquired in connection with any Permitted Acquisition or permitted Investment), in each case as reasonably determined by the Borrower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    </w:t>
      </w:r>
      <w:r>
        <w:rPr>
          <w:rFonts w:ascii="Times New Roman" w:hAnsi="Times New Roman"/>
          <w:caps w:val="false"/>
          <w:smallCaps w:val="false"/>
          <w:sz w:val="20"/>
          <w:u w:val="single"/>
        </w:rPr>
        <w:t>Status of Security</w:t>
      </w:r>
      <w:r>
        <w:rPr>
          <w:rFonts w:ascii="Times New Roman" w:hAnsi="Times New Roman"/>
          <w:caps w:val="false"/>
          <w:smallCaps w:val="false"/>
          <w:sz w:val="20"/>
        </w:rPr>
        <w:t>. The provisions of each Security Document upon execution and delivery thereof (and where applicable, registration as provided for in the Security Documents), create in favor of the Collateral Agent on behalf of the Secured Parties, a valid, binding and enforceable security interest in all right, title and interest in the collateral therein described, and shall constitute a fully perfected security interest ranking first in priority (except for Specified Permitted Liens) in favor of the Collateral Agent on behalf of the Secured Parties in all right, title and interest in such collateral, subject to no other security (except for Permitted Liens) and to notice being given to underwriters and protection and indemnity clubs, and their consent being obtained where policy provisions or club rules so require; and no third party shall have any Lien (except for Permitted Liens) over any asset to which any Security Document, by its terms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(x)    </w:t>
      </w:r>
      <w:r>
        <w:rPr>
          <w:rFonts w:ascii="Times New Roman" w:hAnsi="Times New Roman"/>
          <w:caps w:val="false"/>
          <w:smallCaps w:val="false"/>
          <w:sz w:val="20"/>
          <w:u w:val="single"/>
        </w:rPr>
        <w:t>Anti-Cash Hoarding</w:t>
      </w:r>
      <w:r>
        <w:rPr>
          <w:rFonts w:ascii="Times New Roman" w:hAnsi="Times New Roman"/>
          <w:caps w:val="false"/>
          <w:smallCaps w:val="false"/>
          <w:sz w:val="20"/>
        </w:rPr>
        <w:t>. (i) If as of the last day of any fiscal month the Subsidiaries organized under the laws of Japan shall, in the aggregate, hold cash and/or Cash Equivalents in excess of the equivalent of $6,000,000 (as evidenced by the Liquidity Certificate delivered in respect of such month pursuant to Section 7.03(c) of the Credit Agreement), the Administrative Borrower shall cause such Subsidiaries to distribute or otherwise transfer, within 5 Business Days of the date of delivery of such Liquidity Certificate (or such later date as the Administrative Agent may agree), the amount of such excess to any direct or indirect parent that is a Loan Party organized under the laws of the United States or Switzerland; provided that immediately after giving effect to the transfer of such excess amount, (i) such amount shall be subject to a Lien in favor of the Collateral Agent and (ii) the Administrative Borrower shall deliver reasonably satisfactory evidence to the Administrative Agent of such transfer and the resulting aggregate balance of cash and Cash Equivalents held by all Subsidiaries organized under the laws of 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(y)    </w:t>
      </w:r>
      <w:r>
        <w:rPr>
          <w:rFonts w:ascii="Times New Roman" w:hAnsi="Times New Roman"/>
          <w:caps w:val="false"/>
          <w:smallCaps w:val="false"/>
          <w:sz w:val="20"/>
          <w:u w:val="single"/>
        </w:rPr>
        <w:t>Lender Calls</w:t>
      </w:r>
      <w:r>
        <w:rPr>
          <w:rFonts w:ascii="Times New Roman" w:hAnsi="Times New Roman"/>
          <w:caps w:val="false"/>
          <w:smallCaps w:val="false"/>
          <w:sz w:val="20"/>
        </w:rPr>
        <w:t>. Upon the request of the Administrative Agent (which request, so long as no Event of Default shall have occurred and be continuing, shall not be made more than once every other calendar week), participate in a telephonic meeting with the Agents and the Lenders at such time as may be mutually agreed to by the Administrative Agent and the Administrative Borrower. Additionally, the chief executive officer and other key management personnel of the Loan Parties shall be available upon the reasonable request of the Administrative Agent for calls, including on a weekly basis if required by the Administrative Agent, in order to apprise the Administrative Agent of all material business developments of the Loan Parties and to discuss the Loan Parties’ operations, financial performance, liquidity and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(z)    </w:t>
      </w:r>
      <w:r>
        <w:rPr>
          <w:rFonts w:ascii="Times New Roman" w:hAnsi="Times New Roman"/>
          <w:caps w:val="false"/>
          <w:smallCaps w:val="false"/>
          <w:sz w:val="20"/>
          <w:u w:val="single"/>
        </w:rPr>
        <w:t>Amendment No. 3 Covenants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Field Examination</w:t>
      </w:r>
      <w:r>
        <w:rPr>
          <w:rFonts w:ascii="Times New Roman" w:hAnsi="Times New Roman"/>
          <w:caps w:val="false"/>
          <w:smallCaps w:val="false"/>
          <w:sz w:val="20"/>
        </w:rPr>
        <w:t>. Cooperate with the Servicing Agent to allow the Servicing Agent to obtain a field examination (a copy of which is delivered to the Administrative Agent once available) on or before the Borrowing Base Reset Date (the costs of which shall be reimbursed to the Servicing Agent pursuant to Section 12.04), with results satisfactory to the Servicing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Inventory Appraisal.</w:t>
      </w:r>
      <w:r>
        <w:rPr>
          <w:rFonts w:ascii="Times New Roman" w:hAnsi="Times New Roman"/>
          <w:caps w:val="false"/>
          <w:smallCaps w:val="false"/>
          <w:sz w:val="20"/>
        </w:rPr>
        <w:t xml:space="preserve"> Cooperate with the Servicing Agent to allow the Servicing Agent to obtain an appraisal (a copy of which is delivered to the Administrative Agent once available) of the Inventory of the Loan Parties (including the Japanese Guarantor and the Swiss Guarantor) (the costs of which shall be reimbursed to the Servicing Agent pursuant to Section 12.04) on or before the Borrowing Base Reset Date, with results satisfactory to the Servicing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Intellectual Property Valuation</w:t>
      </w:r>
      <w:r>
        <w:rPr>
          <w:rFonts w:ascii="Times New Roman" w:hAnsi="Times New Roman"/>
          <w:caps w:val="false"/>
          <w:smallCaps w:val="false"/>
          <w:sz w:val="20"/>
        </w:rPr>
        <w:t>. Cooperate with the Servicing Agent to allow the Servicing Agent to obtain a valuation (a copy of which is delivered to the Administrative Agent once available) of the Intellectual Property of the Loan Parties (including the Japanese Guarantor and the Swiss Guarantor) (the costs of which shall be reimbursed to the Servicing Agent pursuant to Section 12.04), with results satisfactory to the Servicing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Borrowing Base Certificate</w:t>
      </w:r>
      <w:r>
        <w:rPr>
          <w:rFonts w:ascii="Times New Roman" w:hAnsi="Times New Roman"/>
          <w:caps w:val="false"/>
          <w:smallCaps w:val="false"/>
          <w:sz w:val="20"/>
        </w:rPr>
        <w:t>. No later than two (2) Business Days after the delivery of each field examination, appraisal, and valuation specified in this clause (z), a Borrowing Base Certificate giving pro forma effect to the results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Foreign Collateral</w:t>
      </w:r>
      <w:r>
        <w:rPr>
          <w:rFonts w:ascii="Times New Roman" w:hAnsi="Times New Roman"/>
          <w:caps w:val="false"/>
          <w:smallCaps w:val="false"/>
          <w:sz w:val="20"/>
        </w:rPr>
        <w:t>. At the sole cost and expense of the Loan Parties, upon the written request of any Agent (within such period of time as may be specified by the applicable Agent in its reasonable discretion), the Collateral Agent shall receive, in each case, in form and substance reasonably satisfactory to the Collateral Agent and the Servicing Agent, such additional agreements, instruments, and other documentation, and the Loan Parties shall further execute and deliver, and shall cause to be taken, all actions necessary, or otherwise reasonably requested by the requesting Agent, to establish, perfect, preserve, protect, and maintain the perfection and priority of the security interests and Liens in the assets of the Japanese Guarantor and the Swiss Guarantor, in each case as may be requested by any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(aa)    </w:t>
      </w:r>
      <w:r>
        <w:rPr>
          <w:rFonts w:ascii="Times New Roman" w:hAnsi="Times New Roman"/>
          <w:caps w:val="false"/>
          <w:smallCaps w:val="false"/>
          <w:sz w:val="20"/>
          <w:u w:val="single"/>
        </w:rPr>
        <w:t>Account Verification</w:t>
      </w:r>
      <w:r>
        <w:rPr>
          <w:rFonts w:ascii="Times New Roman" w:hAnsi="Times New Roman"/>
          <w:caps w:val="false"/>
          <w:smallCaps w:val="false"/>
          <w:sz w:val="20"/>
        </w:rPr>
        <w:t>. The Servicing Agent’s officers, employees or agents shall have the right, at any time or times if an Event of Default has occurred and is continuing, in the name of the Servicing Agent, any designee of the Servicing Agent or any Borrowing Base Party, to verify the validity, amount or any other matter relating to any Accounts by mail, telephone, electronic communication or otherwise. The Borrowing Base Parties shall cooperate fully with the Servicing Agent in an effort to facilitate and promptly conclude any such verification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(bb)    </w:t>
      </w:r>
      <w:r>
        <w:rPr>
          <w:rFonts w:ascii="Times New Roman" w:hAnsi="Times New Roman"/>
          <w:caps w:val="false"/>
          <w:smallCaps w:val="false"/>
          <w:sz w:val="20"/>
          <w:u w:val="single"/>
        </w:rPr>
        <w:t>Records, Schedules and Assignments of Accounts</w:t>
      </w:r>
      <w:r>
        <w:rPr>
          <w:rFonts w:ascii="Times New Roman" w:hAnsi="Times New Roman"/>
          <w:caps w:val="false"/>
          <w:smallCaps w:val="false"/>
          <w:sz w:val="20"/>
        </w:rPr>
        <w:t>. The Borrowing Base Parties shall keep records of their Accounts and all payments and collections thereon, which records shall be complete and accurate in all material respects. From and after the Borrowing Base Reset Date, the Borrowing Base Parties shall submit to the Servicing Agent (i) on such periodic basis as the Servicing Agent shall reasonably request, a sales and collections report for the preceding period, in form acceptable to the Servicing Agent, in its Permitted Discretion, and consistent with the reports currently prepared by the Borrowing Base Parties with respect to such information, and (ii) upon the Servicing Agent’s request therefor, copies of proof of delivery and the original copy of all documents, including, repayment histories and present status reports, relating to the Accounts and such other matters and information relating to the status of then existing Accounts as the Servicing Agent shall reasonably request. Upon request by the Servicing Agent following the occurrence and during the continuation of an Event of Default, the Borrowing Base Parties shall execute and deliver to the Administrative Agent formal written assignments of all of their Accounts on such periodic basis as the Servicing Agent shall request, which shall include all Accounts that have been created since the date of the last assignment, together with copies of invoices or invoice registers related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(cc)    </w:t>
      </w:r>
      <w:r>
        <w:rPr>
          <w:rFonts w:ascii="Times New Roman" w:hAnsi="Times New Roman"/>
          <w:caps w:val="false"/>
          <w:smallCaps w:val="false"/>
          <w:sz w:val="20"/>
          <w:u w:val="single"/>
        </w:rPr>
        <w:t>Field Examination; Appraisals; Valuations</w:t>
      </w:r>
      <w:r>
        <w:rPr>
          <w:rFonts w:ascii="Times New Roman" w:hAnsi="Times New Roman"/>
          <w:caps w:val="false"/>
          <w:smallCaps w:val="false"/>
          <w:sz w:val="20"/>
        </w:rPr>
        <w:t>. Without limitation of, and in addition to, the rights of the Agents set forth in Section 7.01(f) and Section 7.01(z), permit, and cause each of its Subsidiaries to permit, the agents and representatives of the Servicing Agent at any time and from time to time during normal business hours following (so long as no Event of Default shall have occurred and be continuing) reasonable advance notice, at the expense of the Borrowers, to examine and make copies of and abstracts from its records and books of account, to visit and inspect its properties and to discuss its affairs, finances and accounts with any of its directors, officers, managerial employees, independent accountants or any of its other representatives, in each case, subject to the confidentiality obligations incurred in the ordinary course of business (to the extent not made in contemplation hereof), applicable law and the preservation of attorney-client privilege or attorney work product, to enable the Servicing Agent to obtain field examinations and Inventory appraisals from time to time, provided that so long as no Event of Default has occurred and is continuing, the Borrowers shall only be responsible for the costs and expenses of (i) the field examination, appraisal, and valuation required by Section 7.01(z), (ii) one additional field examination per year (in addition to any field examinations conducted in connection with an Acquisition) of the Loan Parties, the Collateral, and such other matters as the Servicing Agent shall deem appropriate in its Permitted Discretion, and (iii) one additional appraisal of Inventory per year (in addition to any Inventory appraisals conducted in connection with an Acquisition), which field examinations and appraisals may be conducted by employees of the Servicing Agent or by third parties hired by the Servicing Agent in its sole discretion; provided further, during the existence of an Event of Default, the Servicing Agent may conduct up to two field examinations and two Inventory appraisals per year at the expense of the Borrowers (in addition to the field examination, appraisal, and valuation required by Section 7.01(z) and those conducted in connection with an Acquisition). Copies of any field examinations or appraisals obtained pursuant to this clause (cc) shall be delivered to the Administrative Agent once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7.02    </w:t>
      </w:r>
      <w:r>
        <w:rPr>
          <w:rFonts w:ascii="Times New Roman" w:hAnsi="Times New Roman"/>
          <w:caps w:val="false"/>
          <w:smallCaps w:val="false"/>
          <w:sz w:val="20"/>
          <w:u w:val="single"/>
        </w:rPr>
        <w:t>Negative Covenants</w:t>
      </w:r>
      <w:r>
        <w:rPr>
          <w:rFonts w:ascii="Times New Roman" w:hAnsi="Times New Roman"/>
          <w:caps w:val="false"/>
          <w:smallCaps w:val="false"/>
          <w:sz w:val="20"/>
        </w:rPr>
        <w:t>. So long as any principal of or interest on any Loan or any other Obligation (whether or not due) shall remain unpaid (other than Contingent Indemnity Obligations) or any Lender shall have any Commitment hereunder, each Loan Party shall not, nor shall they permit any Subsidiary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Liens, Etc.</w:t>
      </w:r>
      <w:r>
        <w:rPr>
          <w:rFonts w:ascii="Times New Roman" w:hAnsi="Times New Roman"/>
          <w:caps w:val="false"/>
          <w:smallCaps w:val="false"/>
          <w:sz w:val="20"/>
        </w:rPr>
        <w:t xml:space="preserve"> Create, incur, assume or suffer to exist, or permit any of its Subsidiaries to create, incur, assume or suffer to exist, any Lien upon or with respect to any of its properties, whether now owned or hereafter acquired; or file or suffer to exist under the Uniform Commercial Code or any Requirement of Law of any jurisdiction, a financing statement (or the equivalent thereof) that names it or any of its Subsidiaries as debtor; other than, as to all of the above,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Indebtedness</w:t>
      </w:r>
      <w:r>
        <w:rPr>
          <w:rFonts w:ascii="Times New Roman" w:hAnsi="Times New Roman"/>
          <w:caps w:val="false"/>
          <w:smallCaps w:val="false"/>
          <w:sz w:val="20"/>
        </w:rPr>
        <w:t>. Create, incur, assume, guarantee or suffer to exist, or otherwise become or remain liable with respect to, or permit any of its Subsidiaries to create, incur, assume, guarantee or suffer to exist or otherwise become or remain liable with respect to, any Indebtedness other than Permitted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Fundamental Changes; Dispositions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Wind-up, liquidate or dissolve, or merge, consolidate or amalgamate with any Person, including by means of an LLC Division, or permit any of its Subsidiaries to do (or agree to do) any of the foregoing;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(A) any wholly-owned Subsidiary of any Loan Party (other than a Borrower) may be merged into such Loan Party or another wholly-owned Subsidiary of such Loan Party, or may consolidate or amalgamate with, or liquidate or dissolve into, another wholly-owned Subsidiary of such Loan Party, or may effectuate an LLC Division and (B) any Loan Party may be merged into another Loan Party (other than a Foreign Loan Party), or may consolidate or amalgamate with, another Loan Party (other than a Foreign Loan Party), so long as (1) no other provision of this Agreement would be violated thereby, (2) such Loan Party gives the Agents at least 10 days prior written notice of such merger, consolidation, amalgamation, liquidation or dissolution, accompanied by true, correct and complete copies of all material agreements, documents and instruments relating to such merger, consolidation, amalgamation, liquidation or dissolution, including, without limitation, the certificate or certificates of merger, consolidation, amalgamation, liquidation or dissolution to be filed with each appropriate Secretary of State (with a copy as filed promptly after such filing), (3) no Default or Event of Default shall have occurred and be continuing either before or after giving effect to such transaction, (4) the Lenders’ rights in any Collateral, including, without limitation, the existence, perfection and priority of any Lien thereon, are not adversely affected by such merger, consolidation or amalgamation, (5) to the extent such merger, amalgamation or consolidation involves (x) a Loan Party, the surviving Subsidiary, if any, if not already a Loan Party, is promptly joined as a Loan Party hereunder, to the extent required pursuant to, and in accordance with, Section 7.01(b), or (y) a Borrower, such Borrower shall be the surviving entity in such merger, consolidation, amalgamation, liquidation or dissolution and (6) in the case of an LLC Division, each resulting party thereto continues to constitute a Loan Party;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Make any Disposition, whether in one transaction or a series of related transactions, of all or any part of its business, property or assets, whether now owned or hereafter acquired (or agree to do any of the foregoing (other than pursuant to agreements contingent upon the payment in full in cash of the Obligations or the obtaining of the requisite approvals hereunder)), or permit any of its Subsidiaries to do any of the foregoing;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any Loan Party and its Subsidiaries may make Permitted Dispositions.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in the foregoing or any other Loan Document, no Disposition or other transfer, whether in one transaction or a series of related transactions, shall result in or have the effect of resulting in the Loan Parties failing to own all Material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Change in Nature of Business</w:t>
      </w:r>
      <w:r>
        <w:rPr>
          <w:rFonts w:ascii="Times New Roman" w:hAnsi="Times New Roman"/>
          <w:caps w:val="false"/>
          <w:smallCaps w:val="false"/>
          <w:sz w:val="20"/>
        </w:rPr>
        <w:t>. Make, or permit any of its Subsidiaries to make, any change in the nature of its business conducted as of the Effective Date (as described in a writing delivered to the Agents on or prior to the Effective Date) and any business reasonably incidental, ancillary, corollary or reasonably related thereto or extensions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Loans, Advances, Investments, Etc.</w:t>
      </w:r>
      <w:r>
        <w:rPr>
          <w:rFonts w:ascii="Times New Roman" w:hAnsi="Times New Roman"/>
          <w:caps w:val="false"/>
          <w:smallCaps w:val="false"/>
          <w:sz w:val="20"/>
        </w:rPr>
        <w:t xml:space="preserve"> Make, or permit any of its Subsidiaries to make, any Investment in any other Person except for Permitted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in the foregoing or any other Loan Document, no Investment, whether in one transaction or a series of related transactions, shall result in or have the effect of resulting in the Loan Parties failing to own all Material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Sale and Leaseback Transactions</w:t>
      </w:r>
      <w:r>
        <w:rPr>
          <w:rFonts w:ascii="Times New Roman" w:hAnsi="Times New Roman"/>
          <w:caps w:val="false"/>
          <w:smallCaps w:val="false"/>
          <w:sz w:val="20"/>
        </w:rPr>
        <w:t xml:space="preserve">. Enter into, or permit any of its Subsidiaries to enter into, any Sale and Leaseback Transaction, other than with respect to a Sale and Leaseback Transaction permitted by this </w:t>
      </w:r>
      <w:r>
        <w:rPr>
          <w:rFonts w:ascii="Times New Roman" w:hAnsi="Times New Roman"/>
          <w:caps w:val="false"/>
          <w:smallCaps w:val="false"/>
          <w:sz w:val="20"/>
          <w:u w:val="single"/>
        </w:rPr>
        <w:t>Section 7.02</w:t>
      </w:r>
      <w:r>
        <w:rPr>
          <w:rFonts w:ascii="Times New Roman" w:hAnsi="Times New Roman"/>
          <w:caps w:val="false"/>
          <w:smallCaps w:val="false"/>
          <w:sz w:val="20"/>
        </w:rPr>
        <w:t xml:space="preserve"> so long as the Net Cash Proceeds of such Sale and Leaseback Transaction are applied in accordance with </w:t>
      </w:r>
      <w:r>
        <w:rPr>
          <w:rFonts w:ascii="Times New Roman" w:hAnsi="Times New Roman"/>
          <w:caps w:val="false"/>
          <w:smallCaps w:val="false"/>
          <w:sz w:val="20"/>
          <w:u w:val="single"/>
        </w:rPr>
        <w:t>Section 2.05(c)(ii)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Capital Expenditures and R&amp;D</w:t>
      </w:r>
      <w:r>
        <w:rPr>
          <w:rFonts w:ascii="Times New Roman" w:hAnsi="Times New Roman"/>
          <w:caps w:val="false"/>
          <w:smallCaps w:val="false"/>
          <w:sz w:val="20"/>
        </w:rPr>
        <w:t xml:space="preserve">. Make or commit or agree to make, or permit any of its Subsidiaries to make or commit or agree to make, any Capital Expenditure (by purchase or Capitalized Lease), any expenditure or any Investment relating to or constituting research and development that would cause the aggregate amount of all such Capital Expenditures, research and development expenditures and Investments relating to or constituting research and development made by the Loan Parties and their Subsidiaries in any period set forth in the table below to exceed the amount set forth in the column titled “Capital Expenditures/R&amp;D” opposite such period; </w:t>
      </w:r>
      <w:r>
        <w:rPr>
          <w:rFonts w:ascii="Times New Roman" w:hAnsi="Times New Roman"/>
          <w:i/>
          <w:caps w:val="false"/>
          <w:smallCaps w:val="false"/>
          <w:sz w:val="20"/>
        </w:rPr>
        <w:t xml:space="preserve">provided </w:t>
      </w:r>
      <w:r>
        <w:rPr>
          <w:rFonts w:ascii="Times New Roman" w:hAnsi="Times New Roman"/>
          <w:caps w:val="false"/>
          <w:smallCaps w:val="false"/>
          <w:sz w:val="20"/>
        </w:rPr>
        <w:t>that an amount equal to 50% of the unused portion of any period’s amount may be carried forward to the immediately subsequent Fiscal Year: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2538"/>
        <w:gridCol w:w="7667"/>
      </w:tblGrid>
      <w:tr>
        <w:trPr/>
        <w:tc>
          <w:tcPr>
            <w:tcW w:w="253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Applicable Period</w:t>
            </w:r>
          </w:p>
        </w:tc>
        <w:tc>
          <w:tcPr>
            <w:tcW w:w="7667"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Capital Expenditures/R&amp;D</w:t>
            </w:r>
          </w:p>
        </w:tc>
      </w:tr>
      <w:tr>
        <w:trPr/>
        <w:tc>
          <w:tcPr>
            <w:tcW w:w="253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3600" w:right="0" w:hanging="3600"/>
              <w:jc w:val="center"/>
              <w:rPr>
                <w:rFonts w:ascii="Times New Roman" w:hAnsi="Times New Roman"/>
                <w:caps w:val="false"/>
                <w:smallCaps w:val="false"/>
                <w:sz w:val="20"/>
              </w:rPr>
            </w:pPr>
            <w:r>
              <w:rPr>
                <w:rFonts w:ascii="Times New Roman" w:hAnsi="Times New Roman"/>
                <w:caps w:val="false"/>
                <w:smallCaps w:val="false"/>
                <w:sz w:val="20"/>
              </w:rPr>
              <w:t>July 1, 2025 through June 30, 2026</w:t>
            </w:r>
          </w:p>
        </w:tc>
        <w:tc>
          <w:tcPr>
            <w:tcW w:w="766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$66,900,000</w:t>
            </w:r>
          </w:p>
        </w:tc>
      </w:tr>
      <w:tr>
        <w:trPr/>
        <w:tc>
          <w:tcPr>
            <w:tcW w:w="253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1, 2026 through June 30, 2027</w:t>
            </w:r>
          </w:p>
        </w:tc>
        <w:tc>
          <w:tcPr>
            <w:tcW w:w="766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amount that is 5% greater than the corresponding amount set forth in the Annual Operating Plan for FY2027</w:t>
            </w:r>
          </w:p>
        </w:tc>
      </w:tr>
      <w:tr>
        <w:trPr/>
        <w:tc>
          <w:tcPr>
            <w:tcW w:w="253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1, 2027 through June 30, 2028</w:t>
            </w:r>
          </w:p>
        </w:tc>
        <w:tc>
          <w:tcPr>
            <w:tcW w:w="766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amount that is 5% greater than the corresponding amount set forth in the Annual Operating Plan for FY2028</w:t>
            </w:r>
          </w:p>
        </w:tc>
      </w:tr>
      <w:tr>
        <w:trPr/>
        <w:tc>
          <w:tcPr>
            <w:tcW w:w="253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1, 2028 through June 30, 2029</w:t>
            </w:r>
          </w:p>
        </w:tc>
        <w:tc>
          <w:tcPr>
            <w:tcW w:w="766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amount that is 5% greater than the corresponding amount set forth in the Annual Operating Plan for FY2029</w:t>
            </w:r>
          </w:p>
        </w:tc>
      </w:tr>
      <w:tr>
        <w:trPr/>
        <w:tc>
          <w:tcPr>
            <w:tcW w:w="2538"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1, 2029 through June 30, 2030</w:t>
            </w:r>
          </w:p>
        </w:tc>
        <w:tc>
          <w:tcPr>
            <w:tcW w:w="766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amount that is 5% greater than the corresponding amount set forth in the Annual Operating Plan for FY2030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Restricted Payments</w:t>
      </w:r>
      <w:r>
        <w:rPr>
          <w:rFonts w:ascii="Times New Roman" w:hAnsi="Times New Roman"/>
          <w:caps w:val="false"/>
          <w:smallCaps w:val="false"/>
          <w:sz w:val="20"/>
        </w:rPr>
        <w:t>. Make or permit any of its Subsidiaries to make any Restricted Payment other than Permitted Restricted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in the foregoing or any other Loan Document, no Restricted Payment, whether in one transaction or a series of related transactions, shall result in or have the effect of resulting in the Loan Parties failing to own all Material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Federal Reserve Regulations</w:t>
      </w:r>
      <w:r>
        <w:rPr>
          <w:rFonts w:ascii="Times New Roman" w:hAnsi="Times New Roman"/>
          <w:caps w:val="false"/>
          <w:smallCaps w:val="false"/>
          <w:sz w:val="20"/>
        </w:rPr>
        <w:t>. Permit any Loan or the proceeds of any Loan under this Agreement to be used for any purpose that would cause such Loan to be a margin loan under the provisions of Regulation T, U or X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Transactions with Affiliates</w:t>
      </w:r>
      <w:r>
        <w:rPr>
          <w:rFonts w:ascii="Times New Roman" w:hAnsi="Times New Roman"/>
          <w:caps w:val="false"/>
          <w:smallCaps w:val="false"/>
          <w:sz w:val="20"/>
        </w:rPr>
        <w:t>. Enter into, renew, extend or be a party to, or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(i) transactions consummated in the ordinary course of business for fair consideration and on terms (taken as a whole) not materially less favorable to it or its Subsidiaries than would be obtainable in a comparable arm’s length transaction with a Person that is not an Affiliate thereof, and, other than with respect to any such transaction with the Chinese Joint Venture, that are fully disclosed to the Agents contemporaneously with the consummation thereof, if they involve one or more payments by the Administrative Borrower or any of its Subsidiaries in excess of $500,000 for any single transaction or series of related transactions, (ii) transactions with another Loan Party, (iii) transactions permitted by Section 7.02(a), Section 7.02(b), Section 7.02(c)(ii), Section 7.02(e) and Section 7.02(h), (iv) sales of Qualified Equity Interests of the Administrative Borrower to Affiliates of the Administrative Borrower not otherwise prohibited by the Loan Documents and the granting of registration and other customary rights in connection therewith, (v) reasonable and customary director, officer and other employee compensation (including bonuses and stock option programs), benefits and indemnification arrangements, (vi) transactions between or among non-Loan Parties, (vii) the maintenance of benefit programs or arrangements for employees, officers or directors, including, without limitation, vacation plans, health and life insurance plans, deferred compensation plans, and retirement or savings plans and similar plans, in each case, in the ordinary course of business and (viii) any agreement between any Person and an Affiliate of such Person existing at the time such Person is acquired, merged or consolidated into a Loan Party pursuant to the terms of this Agreement and not entered into in contemplation of such acquisition or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Limitations on Dividends and Other Payment Restrictions Affecting Subsidiaries</w:t>
      </w:r>
      <w:r>
        <w:rPr>
          <w:rFonts w:ascii="Times New Roman" w:hAnsi="Times New Roman"/>
          <w:caps w:val="false"/>
          <w:smallCaps w:val="false"/>
          <w:sz w:val="20"/>
        </w:rPr>
        <w:t xml:space="preserve">. Create or otherwise cause, incur, assume, suffer or permit to exist or become effective any consensual encumbrance or restriction of any kind on the ability of any Subsidiary of any Loan Party (i) to pay dividends or to make any other distribution on any shares of Equity Interests of such Subsidiary owned by any Loan Party or any of its Subsidiaries, (ii) to pay or prepay or to subordinate any Indebtedness owed to any Loan Party or any of its Subsidiaries, (iii) to make loans or advances to any Loan Party or any of its Subsidiaries or (iv) to transfer any of its property or assets to any Loan Party or any of its Subsidiaries, or permit any of its Subsidiaries to do any of the foregoing;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nothing in any of clauses (i) through (iv) of this Section 7.02(k) shall prohibit or restrict compliance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this Agreement and the other Loan Documents and any Permitted Refinancing Indebtedness in respect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any agreement in effect on the date of this Agreement and described on Schedule 7.02(k), or any extension, replacement or continuation of any such agreement; </w:t>
      </w:r>
      <w:r>
        <w:rPr>
          <w:rFonts w:ascii="Times New Roman" w:hAnsi="Times New Roman"/>
          <w:caps w:val="false"/>
          <w:smallCaps w:val="false"/>
          <w:sz w:val="20"/>
          <w:u w:val="single"/>
        </w:rPr>
        <w:t>provided</w:t>
      </w:r>
      <w:r>
        <w:rPr>
          <w:rFonts w:ascii="Times New Roman" w:hAnsi="Times New Roman"/>
          <w:caps w:val="false"/>
          <w:smallCaps w:val="false"/>
          <w:sz w:val="20"/>
        </w:rPr>
        <w:t>, that, any such encumbrance or restriction contained in such extended, replaced or continued agreement (taken as a whole) is not materially less favorable to the Agents and the Lenders than the encumbrance or restriction under or pursuant to the agreement so extended, replaced or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(C)    any applicable law, rule or regulation (including, without limitation, applicable currency control laws and applicable state corporate statutes restricting the payment of dividends in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(D)    (1) customary restrictions on the subletting, assignment or transfer of any specified property or asset set forth in a lease, license, asset sale agreement or similar contract for the conveyance of such property or asset and (2) instrument or other document evidencing a Permitted Lien (or the Indebtedness secured thereby) from restricting on customary terms the transfer of any property or assets subject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(E)    customary restrictions on dispositions of real property interests in reciprocal easement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(F)    customary restrictions in agreements for the sale of assets on the transfer or encumbrance of such assets during an interim period prior to the closing of the sale of such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(G)    assignment of such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(H)    customary restrictions in contracts that prohibit the customary provisions restricting subletting or assignment of any lease governing a leasehold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(I)    contractual obligations that are binding on a Subsidiary of a Borrower at the time such Subsidiary first becomes a Subsidiary, so long as such contractual obligations were not entered into in contemplation of such person becoming a Subsidiary and such restriction does not apply to a Borrower or any other Subsidiary and/or any property of the Borrower or any other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(J)    customary net worth provisions contained in real property leases entered into in the ordinary course of business, so long as the Borrowers have determined in good faith that such net worth provisions could not reasonably be expected to impair the ability of the Borrowers and Subsidiaries to meet their ongoing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(K)    in respect of customary restrictions and conditions contained in any agreement relating to any disposition permitted hereunder (in which case such restrictions or conditions shall relate only to the applicable property subject to such disposition) or otherwise relating to a Disposition that is conditioned upon the amendment, restatement or replacement of this Agreement or the repayment in full of amounts owing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(L)    restrictions in agreements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restrictions apply solely to Subsidiaries that are not Guarantors, (y) are no more restrictive than the limitations (taken as a whole) set forth in the Loan Documents and (z) such encumbrances or restrictions do not impair any Loan Party’s ability to (i) grant the security interests to the Collateral Agent contemplated by the Loan Documents, (ii) pay the Obligations under the Loan Documents as and when due or (iii) otherwise comply with the terms of the Loan Documents;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(M)    customary provisions in joint venture agreements and other similar agreements applicable to joint ventures, in each case, to the extent permitted under this Agreement and applicable solely to such joint venture and the Equity Interests issued thereby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provisions do not preclude the grant of a Lien, in favor of the Collateral Agent, with respect to such Equity Interests owned by Loan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Limitations on Negative Pledges</w:t>
      </w:r>
      <w:r>
        <w:rPr>
          <w:rFonts w:ascii="Times New Roman" w:hAnsi="Times New Roman"/>
          <w:caps w:val="false"/>
          <w:smallCaps w:val="false"/>
          <w:sz w:val="20"/>
        </w:rPr>
        <w:t xml:space="preserve">. Enter into, incur or permit to exist, or permit any Subsidiary to enter into, incur or permit to exist, directly or indirectly, any agreement, instrument, deed, lease or other arrangement that prohibits, restricts or imposes any condition upon the ability of any Loan Party or any Subsidiary of any Loan Party to create, incur or permit to exist any Lien upon any of its property or revenues, whether now owned or hereafter acquired, or that requires the grant of any security for an obligation if security is granted for another obligation, except the following: (i) this Agreement and the other Loan Documents, (ii) restrictions or conditions imposed by any agreement relating to secured Indebtedness permitted by Section 7.02(b) of this Agreement if such restrictions or conditions apply only to the property or assets securing such Indebtedness, (iii) any customary restrictions and conditions contained in agreements relating to the sale or other disposition of assets or of a Subsidiary pending such sale or other disposition;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restrictions and conditions apply only to the assets or Subsidiary to be sold or disposed of and such sale or disposition is permitted hereunder, (iv) customary provisions in leases restricting the assignment or sublet thereof and (v) all exceptions described in Section 7.02(k).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Modifications of Indebtedness, Organizational Documents and Certain Other Agreements;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Amend, modify or otherwise change (or permit the amendment, modification or other change in any manner of) any of the provisions of any of its or its Subsidiaries’ Restricted Indebtedness or of any instrument or agreement (including, without limitation, any purchase agreement, indenture, loan agreement or security agreement) evidencing or governing any such Indebtedness if such amendment, modification or change would shorten the final maturity of such Indebtedness to, or require any payment to be made on such Indebtedness earlier than, the earlier to occur of (i) the date originally scheduled or (ii) 91 days after the Final Maturity Date, would shorten the average life to maturity of such Indebtedness to less than the average life to maturity of any Term Loan, would increase the interest rate applicable to such Indebtedness, would add any covenant or event of default such that such Restricted Indebtedness would be materially more restrictive than the covenants or events of default included in the Loan Documents or contain events of default that are not Events of Default, would change the subordination provision, if any, of such Indebtedness, or would otherwise be adverse in any material respect to the Lenders or the issuer of such Indebtedness, except, in each case, as permitted under any applicable intercreditor or subordination agreement or subordination provisions thereof (including, in the case of Indebtedness solely among the Loan Parties and their Subsidiaries, the Intercompany Subordination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except for (A) the Obligations, (B) Indebtedness permitted under clauses (b), (d), (e), (f), (g), (h), (i), (m), (n), (p), (q) and (r) of the definition of Permitted Indebtedness, (C) Permitted Refinancing Indebtedness and (D) Permitted Restricted Payments, (1) make any voluntary or optional payment (including, without limitation, any payment of interest in cash that, at the option of the issuer, may be paid in cash or in kind), prepayment, redemption, defeasance, sinking fund payment or other acquisition for value of any of its or its Subsidiaries’ Indebtedness (including, without limitation, by way of depositing money or securities with the trustee therefor) before the date required for the purpose of paying any portion of such Indebtedness when due, (2) refund, refinance, replace or exchange any other Indebtedness for any such Indebtedness (other than with respect to Permitted Refinancing Indebtedness or the conversion or exchange of any Indebtedness to Equity Interests (other than Disqualified Equity Interests) of Administrative Borrower), (3) make any payment, prepayment, redemption, defeasance, sinking fund payment or repurchase of any subordinated Indebtedness in violation of the subordination provisions thereof or any subordination agreement with respect thereto, or (4) make any payment, prepayment, redemption, defeasance, sinking fund payment or repurchase of any Indebtedness as a result of any asset sale (excluding Indebtedness with respect to capital leases and Permitted Purchase Money Indebtedness with respect to such asset sold), change of control, issuance and sale of debt or equity securities or similar event, or give any notice with respect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amend, modify or otherwise change any of its Governing Documents (including, without limitation, by the filing or modification of any certificate of designation, or any agreement or arrangement entered into by it) with respect to any of its Equity Interests (including any shareholders’ agreement), or enter into any new agreement with respect to any of its Equity Interests, except any such amendments, modifications or changes or any such new agreements or arrangements pursuant to this clause (v) that either individually or in the aggregate could not reasonably be expected to have a Material Adverse Effect;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agree to any amendment, modification or other change to or waiver of any of its rights under any Material Contract if such amendment, modification, change or waiver (taken as a whole) would be adverse in any material respect to any Loan Party or any of its Subsidiaries or the Agents and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Investment Company Act of 1940</w:t>
      </w:r>
      <w:r>
        <w:rPr>
          <w:rFonts w:ascii="Times New Roman" w:hAnsi="Times New Roman"/>
          <w:caps w:val="false"/>
          <w:smallCaps w:val="false"/>
          <w:sz w:val="20"/>
        </w:rPr>
        <w:t>. Engage in any business, enter into any transaction, use any securities or take any other action or permit any of its Subsidiaries to do any of the foregoing, that would cause it or any of its Subsidiaries to become subject to the registration requirements of the Investment Company Act of 1940, as amended, by virtue of being an “investment company” or a company “controlled” by an “investment company” not entitled to an exemption within the meaning of such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ERISA</w:t>
      </w:r>
      <w:r>
        <w:rPr>
          <w:rFonts w:ascii="Times New Roman" w:hAnsi="Times New Roman"/>
          <w:caps w:val="false"/>
          <w:smallCaps w:val="false"/>
          <w:sz w:val="20"/>
        </w:rPr>
        <w:t>. (i) Cause or fail to prevent, or permit any of its ERISA Affiliates to cause or fail to prevent, an ERISA Event, or (ii) prospectively adopt, or permit any of its ERISA Affiliates to adopt, any new employee welfare benefit plan within the meaning of Section 3(1) of ERISA that provides benefits to employees after termination of employment other than severance benefits and such other benefits as required by Section 601 of ERISA or other Requirements of Law, except, in each case, as could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caps w:val="false"/>
          <w:smallCaps w:val="false"/>
          <w:sz w:val="20"/>
          <w:u w:val="single"/>
        </w:rPr>
        <w:t>Environmental</w:t>
      </w:r>
      <w:r>
        <w:rPr>
          <w:rFonts w:ascii="Times New Roman" w:hAnsi="Times New Roman"/>
          <w:caps w:val="false"/>
          <w:smallCaps w:val="false"/>
          <w:sz w:val="20"/>
        </w:rPr>
        <w:t>. Permit the use, handling, generation, storage, treatment, Release or disposal of Hazardous Materials at any property owned, leased or operated by it or any of its Subsidiaries, except in compliance with Environmental Laws (other than any noncompliance that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caps w:val="false"/>
          <w:smallCaps w:val="false"/>
          <w:sz w:val="20"/>
          <w:u w:val="single"/>
        </w:rPr>
        <w:t>Accounting Methods</w:t>
      </w:r>
      <w:r>
        <w:rPr>
          <w:rFonts w:ascii="Times New Roman" w:hAnsi="Times New Roman"/>
          <w:caps w:val="false"/>
          <w:smallCaps w:val="false"/>
          <w:sz w:val="20"/>
        </w:rPr>
        <w:t>. Modify or change, or permit any of its Subsidiaries to modify or change, its method of accounting or accounting principles from those utilized in the preparation of the Financial Statements (other than as may be required to conform to GAAP or recommended by an auditor or accounting firm of the Administrative Borrower and its Subsidiaries (so long as such recommendation is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caps w:val="false"/>
          <w:smallCaps w:val="false"/>
          <w:sz w:val="20"/>
          <w:u w:val="single"/>
        </w:rPr>
        <w:t>Sanctioned Persons; Anti-Corruption Laws; Anti- Money Laundering Laws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Become, or permit any of its Subsidiaries, or any of their respective directors, officers, or employees to become, a Prohibited Person, or permit its agents or its Subsidiaries’ agents to become a Prohibited Person to the extent it would result in a violation of Sanctions or Trade Control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Conduct, nor permit any of its Subsidiaries to conduct, any business or engage in any transaction or deal with or for the benefit of any Prohibited Person, including the making or receiving of any contribution of funds, goods or services to, from or for the benefit of any Prohibited Person, in each case, in violation of applicable Sanctions or Trade Control Laws;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Use, nor permit any of its Subsidiaries to use, directly or indirectly, any of the proceeds of any Loan, (A) to fund any activities or business of or with any Prohibited Person in violation of applicable Sanctions or Trade Control Laws or in any other manner that would result in a violation of any Sanctions or Trade Control Laws by any Person (including by any Person participating in any Loan, whether as underwriter, advisor, investor or otherwise), or (B) for any offer, payment, promise to pay, or authorization of the payment or giving of money, or anything else of value, to any Person in violation of any applicable Anti-Corruption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The foregoing clauses in this section will not apply to any party hereto to which Council Regulation (EC) 2271/96 (the “</w:t>
      </w:r>
      <w:r>
        <w:rPr>
          <w:rFonts w:ascii="Times New Roman" w:hAnsi="Times New Roman"/>
          <w:caps w:val="false"/>
          <w:smallCaps w:val="false"/>
          <w:sz w:val="20"/>
          <w:u w:val="single"/>
        </w:rPr>
        <w:t>Blocking Regulation</w:t>
      </w:r>
      <w:r>
        <w:rPr>
          <w:rFonts w:ascii="Times New Roman" w:hAnsi="Times New Roman"/>
          <w:caps w:val="false"/>
          <w:smallCaps w:val="false"/>
          <w:sz w:val="20"/>
        </w:rPr>
        <w:t>”) applies, if and to the extent that such representations are or would be unenforceable by or in respect of that party pursuant to, or would otherwise result in a breach and/or violation of, (i) any provision of the Blocking Regulation (or any law or regulation implementing the Blocking Regulation in any member state of the European Union) or (ii) any similar blocking or anti-boycott law in the United Kingdom.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caps w:val="false"/>
          <w:smallCaps w:val="false"/>
          <w:sz w:val="20"/>
          <w:u w:val="single"/>
        </w:rPr>
        <w:t>Disposal of Subsidiary Interests</w:t>
      </w:r>
      <w:r>
        <w:rPr>
          <w:rFonts w:ascii="Times New Roman" w:hAnsi="Times New Roman"/>
          <w:caps w:val="false"/>
          <w:smallCaps w:val="false"/>
          <w:sz w:val="20"/>
        </w:rPr>
        <w:t>. Except for any sale of all of its interests in the Equity Interests of any of its Subsidiaries in compliance with the provisions of Section 7.02(c) and except for Permitted Specified Liens, (a) directly or indirectly issue, sell, assign, pledge or otherwise encumber or dispose of any Equity Interests of any of its Subsidiaries, except to qualify directors if required by applicable law; or (b) permit any of its Subsidiaries directly or indirectly to issue, sell, assign, pledge or otherwise encumber or dispose of any Equity Interests of any of its Subsidiaries, except to another Loan Party (subject to the restrictions on such disposition otherwise imposed hereunder), or to qualify directors if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caps w:val="false"/>
          <w:smallCaps w:val="false"/>
          <w:sz w:val="20"/>
          <w:u w:val="single"/>
        </w:rPr>
        <w:t>Use of Proceeds</w:t>
      </w:r>
      <w:r>
        <w:rPr>
          <w:rFonts w:ascii="Times New Roman" w:hAnsi="Times New Roman"/>
          <w:caps w:val="false"/>
          <w:smallCaps w:val="false"/>
          <w:sz w:val="20"/>
        </w:rPr>
        <w:t xml:space="preserve">. Use the proceeds of the (i) Term Loans drawn on the Effective Date in any manner other than (a) to refinance the Existing Credit Agreement and other existing indebtedness of the Borrowers, (b) to consummate the exchange of all, or a portion of, the Existing Notes;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portion of the Term Loans drawn on the Effective Date, not exceeding $70,000,000, shall be deposited in the Escrow Account on the Effective Date and shall be released therefrom to effectuate the Exchange (as defined in the relevant Exchange Agreement) of Existing Notes as set forth in the applicable Exchange Agreement or otherwise pursuant to Section 2.05(c)(vi);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immediately upon receipt of notice from Accuray that an Exchange (as defined in the applicable Exchange Agreement) of any Existing Notes will be consummated on or before the date that is twelve (12) Business Days following the Effective Date, each of the Administrative Agent and the Servicing Agent shall (and hereby agrees to) deliver to Accuray an executed Joint Escrow Release (to be subsequently and promptly delivered to the Escrow Agent), and (c) to pay fees and expenses in connection with the transactions contemplated hereby, (ii) Revolving Loans drawn after the Effective Date in any manner other than for working capital and other general corporate purposes of the Borrower and its Subsidiaries (including, for the avoidance of doubt, its Foreign Subsidiaries) not prohibited or restricted under this Agreement and (iii) Delayed Draw Term Loans shall be used to consummate the exchange or other redemption (or to refinancing Indebtedness incurred to consummate the exchange or other redemption) any Existing Notes that remain outstanding from and after the thirteenth (13th) Business Day after the Effective Date and to pay fees and expenses in connection with the transactions contemplated hereby. No Revolving Loans shall be drawn on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7.03    </w:t>
      </w:r>
      <w:r>
        <w:rPr>
          <w:rFonts w:ascii="Times New Roman" w:hAnsi="Times New Roman"/>
          <w:caps w:val="false"/>
          <w:smallCaps w:val="false"/>
          <w:sz w:val="20"/>
          <w:u w:val="single"/>
        </w:rPr>
        <w:t>Financial Covenants</w:t>
      </w:r>
      <w:r>
        <w:rPr>
          <w:rFonts w:ascii="Times New Roman" w:hAnsi="Times New Roman"/>
          <w:caps w:val="false"/>
          <w:smallCaps w:val="false"/>
          <w:sz w:val="20"/>
        </w:rPr>
        <w:t>. So long as any principal of or interest on any Loan or any other Obligation (whether or not due) shall remain unpaid (other than Contingent Indemnity Obligations) or any Lender shall have any Commitment hereunder, each Loan Party shall not, unless the Required Lenders shall otherwise consent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Total Leverage Ratio</w:t>
      </w:r>
      <w:r>
        <w:rPr>
          <w:rFonts w:ascii="Times New Roman" w:hAnsi="Times New Roman"/>
          <w:caps w:val="false"/>
          <w:smallCaps w:val="false"/>
          <w:sz w:val="20"/>
        </w:rPr>
        <w:t>. Permit the (a) Total Leverage Ratio of the Administrative Borrower and its Subsidiaries as of the last day of any period of 4 consecutive Fiscal Quarters of the Administrative Borrower and its Subsidiaries ending on a date set forth below to be greater than the ratio set forth opposite such date:</w:t>
      </w:r>
    </w:p>
    <w:p>
      <w:pPr>
        <w:pStyle w:val="TextBody"/>
        <w:bidi w:val="0"/>
        <w:spacing w:before="0" w:after="0"/>
        <w:ind w:left="0" w:right="0" w:hanging="0"/>
        <w:jc w:val="both"/>
        <w:rPr>
          <w:caps w:val="false"/>
          <w:smallCaps w:val="false"/>
        </w:rPr>
      </w:pPr>
      <w:r>
        <w:rPr>
          <w:caps w:val="false"/>
          <w:smallCaps w:val="false"/>
        </w:rPr>
        <w:t> </w:t>
      </w:r>
    </w:p>
    <w:tbl>
      <w:tblPr>
        <w:tblW w:w="7990" w:type="dxa"/>
        <w:jc w:val="left"/>
        <w:tblInd w:w="-7" w:type="dxa"/>
        <w:tblLayout w:type="fixed"/>
        <w:tblCellMar>
          <w:top w:w="28" w:type="dxa"/>
          <w:left w:w="28" w:type="dxa"/>
          <w:bottom w:w="28" w:type="dxa"/>
          <w:right w:w="28" w:type="dxa"/>
        </w:tblCellMar>
      </w:tblPr>
      <w:tblGrid>
        <w:gridCol w:w="6140"/>
        <w:gridCol w:w="1850"/>
      </w:tblGrid>
      <w:tr>
        <w:trPr/>
        <w:tc>
          <w:tcPr>
            <w:tcW w:w="614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Quarter End</w:t>
            </w:r>
          </w:p>
        </w:tc>
        <w:tc>
          <w:tcPr>
            <w:tcW w:w="18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Total</w:t>
            </w:r>
            <w:r>
              <w:rPr>
                <w:rFonts w:ascii="Times New Roman" w:hAnsi="Times New Roman"/>
                <w:caps w:val="false"/>
                <w:smallCaps w:val="false"/>
                <w:sz w:val="20"/>
              </w:rPr>
              <w:t> </w:t>
            </w:r>
            <w:r>
              <w:rPr>
                <w:rFonts w:ascii="Times New Roman" w:hAnsi="Times New Roman"/>
                <w:b/>
                <w:caps w:val="false"/>
                <w:smallCaps w:val="false"/>
                <w:sz w:val="20"/>
              </w:rPr>
              <w:t>Leverage Ratio</w:t>
            </w:r>
          </w:p>
        </w:tc>
      </w:tr>
      <w:tr>
        <w:trPr/>
        <w:tc>
          <w:tcPr>
            <w:tcW w:w="61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 2028</w:t>
            </w:r>
          </w:p>
        </w:tc>
        <w:tc>
          <w:tcPr>
            <w:tcW w:w="18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3.75:1.00</w:t>
            </w:r>
          </w:p>
        </w:tc>
      </w:tr>
      <w:tr>
        <w:trPr/>
        <w:tc>
          <w:tcPr>
            <w:tcW w:w="61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2028</w:t>
            </w:r>
          </w:p>
        </w:tc>
        <w:tc>
          <w:tcPr>
            <w:tcW w:w="18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3.50:1.00</w:t>
            </w:r>
          </w:p>
        </w:tc>
      </w:tr>
      <w:tr>
        <w:trPr/>
        <w:tc>
          <w:tcPr>
            <w:tcW w:w="61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2028</w:t>
            </w:r>
          </w:p>
        </w:tc>
        <w:tc>
          <w:tcPr>
            <w:tcW w:w="18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3.25:1.00</w:t>
            </w:r>
          </w:p>
        </w:tc>
      </w:tr>
      <w:tr>
        <w:trPr/>
        <w:tc>
          <w:tcPr>
            <w:tcW w:w="61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2028 and the last day of each Fiscal Quarter ending thereafter</w:t>
            </w:r>
          </w:p>
        </w:tc>
        <w:tc>
          <w:tcPr>
            <w:tcW w:w="18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3.00:1.00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Fixed Charge Coverage Ratio</w:t>
      </w:r>
      <w:r>
        <w:rPr>
          <w:rFonts w:ascii="Times New Roman" w:hAnsi="Times New Roman"/>
          <w:caps w:val="false"/>
          <w:smallCaps w:val="false"/>
          <w:sz w:val="20"/>
        </w:rPr>
        <w:t>. Permit the Fixed Charge Coverage Ratio of the Administrative Borrower and its Subsidiaries as of the last day of any period of 4 consecutive Fiscal Quarters of the Administrative Borrower and its Subsidiaries ending on a date set forth below to be less than the ratio set forth opposite such date:</w:t>
      </w:r>
    </w:p>
    <w:p>
      <w:pPr>
        <w:pStyle w:val="TextBody"/>
        <w:bidi w:val="0"/>
        <w:spacing w:before="0" w:after="0"/>
        <w:ind w:left="0" w:right="0" w:firstLine="1440"/>
        <w:jc w:val="both"/>
        <w:rPr>
          <w:caps w:val="false"/>
          <w:smallCaps w:val="false"/>
        </w:rPr>
      </w:pPr>
      <w:r>
        <w:rPr>
          <w:caps w:val="false"/>
          <w:smallCaps w:val="false"/>
        </w:rPr>
        <w:t> </w:t>
      </w:r>
    </w:p>
    <w:tbl>
      <w:tblPr>
        <w:tblW w:w="8740" w:type="dxa"/>
        <w:jc w:val="left"/>
        <w:tblInd w:w="-7" w:type="dxa"/>
        <w:tblLayout w:type="fixed"/>
        <w:tblCellMar>
          <w:top w:w="28" w:type="dxa"/>
          <w:left w:w="28" w:type="dxa"/>
          <w:bottom w:w="28" w:type="dxa"/>
          <w:right w:w="28" w:type="dxa"/>
        </w:tblCellMar>
      </w:tblPr>
      <w:tblGrid>
        <w:gridCol w:w="6185"/>
        <w:gridCol w:w="2555"/>
      </w:tblGrid>
      <w:tr>
        <w:trPr/>
        <w:tc>
          <w:tcPr>
            <w:tcW w:w="618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Quarter End</w:t>
            </w:r>
          </w:p>
        </w:tc>
        <w:tc>
          <w:tcPr>
            <w:tcW w:w="255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Fixed Charge Coverage Ratio</w:t>
            </w:r>
          </w:p>
        </w:tc>
      </w:tr>
      <w:tr>
        <w:trPr/>
        <w:tc>
          <w:tcPr>
            <w:tcW w:w="61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 2028</w:t>
            </w:r>
          </w:p>
        </w:tc>
        <w:tc>
          <w:tcPr>
            <w:tcW w:w="25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1.25:1.00</w:t>
            </w:r>
          </w:p>
        </w:tc>
      </w:tr>
      <w:tr>
        <w:trPr/>
        <w:tc>
          <w:tcPr>
            <w:tcW w:w="61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2028</w:t>
            </w:r>
          </w:p>
        </w:tc>
        <w:tc>
          <w:tcPr>
            <w:tcW w:w="25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1.50:1.00</w:t>
            </w:r>
          </w:p>
        </w:tc>
      </w:tr>
      <w:tr>
        <w:trPr/>
        <w:tc>
          <w:tcPr>
            <w:tcW w:w="61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2028</w:t>
            </w:r>
          </w:p>
        </w:tc>
        <w:tc>
          <w:tcPr>
            <w:tcW w:w="25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1.75:1.00</w:t>
            </w:r>
          </w:p>
        </w:tc>
      </w:tr>
      <w:tr>
        <w:trPr/>
        <w:tc>
          <w:tcPr>
            <w:tcW w:w="61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2028, and the last day of each Fiscal Quarter ending thereafter</w:t>
            </w:r>
          </w:p>
        </w:tc>
        <w:tc>
          <w:tcPr>
            <w:tcW w:w="25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2.00:1.00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Liquidity</w:t>
      </w:r>
      <w:r>
        <w:rPr>
          <w:rFonts w:ascii="Times New Roman" w:hAnsi="Times New Roman"/>
          <w:caps w:val="false"/>
          <w:smallCaps w:val="false"/>
          <w:sz w:val="20"/>
        </w:rPr>
        <w:t xml:space="preserve">. Permit (i) as of the last calendar day of any calendar month, the Liquidity of the Borrower and its Subsidiaries, calculated on a trailing 30-day average, to be less than, for any such month ending (w) on or prior to December 31, 2026, $15,000,000, (x) during the period from January 1, 2027 through and including May 31, 2027, $17,500,000, (y) during the period from June 1, 2027 through and including February 28, 2028, $20,000,000, and (z) thereafter, $25,000,000 (in each case, calculated based on (A) Qualified Cash of Domestic Loan Parties and (B) Qualified Cash held in deposit accounts located within Switzerland) and (ii) as of the last calendar day of each calendar month, Availability, calculated on a trailing 30-day average, to be less than $5,000,000, in each case, with respect to each of the foregoing clauses (i)-(ii), certified pursuant to a certificate signed by an Authorized Officer of the Administrative Borrower substantially in the form of </w:t>
      </w:r>
      <w:r>
        <w:rPr>
          <w:rFonts w:ascii="Times New Roman" w:hAnsi="Times New Roman"/>
          <w:caps w:val="false"/>
          <w:smallCaps w:val="false"/>
          <w:sz w:val="20"/>
          <w:u w:val="single"/>
        </w:rPr>
        <w:t>Exhibit K</w:t>
      </w:r>
      <w:r>
        <w:rPr>
          <w:rFonts w:ascii="Times New Roman" w:hAnsi="Times New Roman"/>
          <w:caps w:val="false"/>
          <w:smallCaps w:val="false"/>
          <w:sz w:val="20"/>
        </w:rPr>
        <w:t xml:space="preserve"> hereto delivered to the Agents within five (5) Business Days following the end of each calendar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7.04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VIII</w:t>
      </w:r>
      <w:r>
        <w:rPr>
          <w:rFonts w:ascii="Times New Roman" w:hAnsi="Times New Roman"/>
          <w:caps w:val="false"/>
          <w:smallCaps w:val="false"/>
          <w:sz w:val="20"/>
        </w:rPr>
        <w:br/>
        <w:br/>
      </w:r>
      <w:r>
        <w:rPr>
          <w:rFonts w:ascii="Times New Roman" w:hAnsi="Times New Roman"/>
          <w:b/>
          <w:caps w:val="false"/>
          <w:smallCaps w:val="false"/>
          <w:sz w:val="20"/>
        </w:rPr>
        <w:t>CASH MANAGEMENT ARRANGEMENTS AND OTHER COLLATERAL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8.01    </w:t>
      </w:r>
      <w:r>
        <w:rPr>
          <w:rFonts w:ascii="Times New Roman" w:hAnsi="Times New Roman"/>
          <w:caps w:val="false"/>
          <w:smallCaps w:val="false"/>
          <w:sz w:val="20"/>
          <w:u w:val="single"/>
        </w:rPr>
        <w:t>Cash Management Arrangements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Loan Parties shall (i) establish and maintain, in addition to any Excluded Accounts, cash management services at one or more of the banks set forth on Schedule 8.01 (each a “</w:t>
      </w:r>
      <w:r>
        <w:rPr>
          <w:rFonts w:ascii="Times New Roman" w:hAnsi="Times New Roman"/>
          <w:caps w:val="false"/>
          <w:smallCaps w:val="false"/>
          <w:sz w:val="20"/>
          <w:u w:val="single"/>
        </w:rPr>
        <w:t>Cash Management Bank</w:t>
      </w:r>
      <w:r>
        <w:rPr>
          <w:rFonts w:ascii="Times New Roman" w:hAnsi="Times New Roman"/>
          <w:caps w:val="false"/>
          <w:smallCaps w:val="false"/>
          <w:sz w:val="20"/>
        </w:rPr>
        <w:t>”) and (ii) except as otherwise provided under Section 8.01(b), deposit or cause to be deposited promptly, and in any event no later than the next Business Day after the date of receipt thereof, all cash proceeds in respect of any Collateral, all Collections (of a nature susceptible to a deposit in a bank account) and all other cash amounts received by any Loan Party (including payments made by Account Debtors directly to any Loan Party) into a Cash Management Account or Excluded Account. As of the Effective Date, the Agents and the Lenders acknowledge and agree that the Cash Management Banks set forth on Schedule 8.01 are satisfactory to the Agents and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Within 60 days of the Effective Date (or such later date agreed to by the Collateral Agent and the Servicing Agent in their reasonable discretion) (or, with respect to Loan Parties acquired or formed after the Effective Date, within 60 days of such acquisition or formation), the Loan Parties shall, with respect to each U.S. domestic Cash Management Account (other than Excluded Accounts), deliver to the Collateral Agent a Control Agreement with respect to such Cash Management Account. Thereafter, the Loan Parties shall not maintain, cash, Cash Equivalents or other amounts in any deposit account or securities account (other than Excluded Accounts), unless such deposit account or securities account is a Cash Management Account and, if such account is located within the United States, the Collateral Agent shall have received a Control Agreement in respect of such Cash Management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So long as no Event of Default has occurred and is continuing, the Borrowers may amend Schedule 8.01 to add or replace a Cash Management Bank or Cash Management Account;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prior to or at the time of the opening of such Cash Management Account located within the United States, the applicable Loan Party and such prospective Cash Management Bank shall have executed and delivered to the Collateral Agent a Control Agreement (or, in the case of any Cash Management Account located within a jurisdiction other than the United States, subjected such Cash Management Account to a first priority lien (subject to Permitted Liens set forth in clause (l) and clause (q) of the definition of Permitted Liens) in favor of Collateral Agent to the reasonable satisfaction of the Collateral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IX</w:t>
      </w:r>
      <w:r>
        <w:rPr>
          <w:rFonts w:ascii="Times New Roman" w:hAnsi="Times New Roman"/>
          <w:caps w:val="false"/>
          <w:smallCaps w:val="false"/>
          <w:sz w:val="20"/>
        </w:rPr>
        <w:br/>
        <w:br/>
      </w:r>
      <w:r>
        <w:rPr>
          <w:rFonts w:ascii="Times New Roman" w:hAnsi="Times New Roman"/>
          <w:b/>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9.01    </w:t>
      </w:r>
      <w:r>
        <w:rPr>
          <w:rFonts w:ascii="Times New Roman" w:hAnsi="Times New Roman"/>
          <w:caps w:val="false"/>
          <w:smallCaps w:val="false"/>
          <w:sz w:val="20"/>
          <w:u w:val="single"/>
        </w:rPr>
        <w:t>Events of Default</w:t>
      </w:r>
      <w:r>
        <w:rPr>
          <w:rFonts w:ascii="Times New Roman" w:hAnsi="Times New Roman"/>
          <w:caps w:val="false"/>
          <w:smallCaps w:val="false"/>
          <w:sz w:val="20"/>
        </w:rPr>
        <w:t>. Each of the following events shall constitute an event of default (each, an “</w:t>
      </w:r>
      <w:r>
        <w:rPr>
          <w:rFonts w:ascii="Times New Roman" w:hAnsi="Times New Roman"/>
          <w:caps w:val="false"/>
          <w:smallCaps w:val="false"/>
          <w:sz w:val="20"/>
          <w:u w:val="single"/>
        </w:rPr>
        <w:t>Event of Default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any Borrower shall fail to pay, when due (whether by scheduled maturity, required prepayment, acceleration, demand or otherwise), (i) any interest on any Loan, any Collateral Agent Advance, or any fee, premium (including Applicable Premium, Make-Whole Amount or Supplemental Premium) indemnity or other amount payable under this Agreement (other than any portion thereof constituting principal of the Loans) or any other Loan Document or (ii) all or any portion of the principal of the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any representation or warranty made or deemed made by or on behalf of any Loan Party or by any officer of the foregoing under or in connection with any Loan Document or under or in connection with any certificate or other writing delivered to any Secured Party pursuant to any Loan Document shall have been incorrect in any material respect (or in any respect if such representation or warranty is qualified or modified as to materiality or “Material Adverse Effect” in the text thereof) when made or deemed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(i) any Loan Party shall fail to perform or comply with any covenant or agreement contained in Section 5.03, Section 7.01(a)(vi), Section 7.01(a)(viii), Section 7.01(a)(xiv), Section 7.01(d)(i), Section 7.01(f), Section 7.01(h), Section 7.01(k), Section 7.01(y), Section 7.01(z), Section 7.01(aa), Section 7.01(bb), Section 7.01(cc), Section 7.02 or Section 7.03 or Article VIII, (ii) any Loan Party shall fail to perform or comply with any covenant or agreement contained in any Security Document to which it is a party and in the case of this clause (ii), such failure continues beyond any applicable grace period contained in any Security Document to which it is a party, or (iii) any Loan Party shall fail to perform or comply with any term, covenant or agreement contained in Section 7.01(a) (except clauses (viii), (ix), (xii) and (xv)) and Section 7.01(o), and such failure, if capable of being remedied, shall remain unremedied for 5 Business Days after the earlier of the date a senior officer of any Loan Party has knowledge of such failure and the date written notice of such default shall have been given by any Agent to such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any Loan Party shall fail to perform or comply with any other term, covenant or agreement contained in any Loan Document to be performed or observed by it and, except as set forth in subsections (a), (b) and (c) of this Section 9.01, such failure, if capable of being remedied, shall remain unremedied for 30 days after the earlier of the date a senior officer of any Loan Party has knowledge of such failure and the date written notice of such default shall have been given by any Agent to such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the Administrative Borrower or any of its Subsidiaries shall fail to pay when due (whether by scheduled maturity, required prepayment, acceleration, demand or otherwise) any principal, interest or other amount payable in respect of Indebtedness (excluding Indebtedness evidenced by this Agreement) having an aggregate amount outstanding in excess of $5,000,000, and such failure shall continue after the applicable grace or notice period, if any, specified in the agreement or instrument relating to such Indebtedness, or any other default under any agreement or instrument relating to any such Indebtedness, or any other event, shall occur and shall continue after the applicable grace or notice period, if any, specified in such agreement or instrument, if the effect of such default or event is to accelerate, or to permit the acceleration of, the maturity of such Indebtedness; or any such Indebtedness shall be declared to be due and payable, or required to be prepaid (other than by a regularly scheduled required prepayment), redeemed, purchased or defeased or an offer to prepay, redeem, purchase or defease such Indebtedness shall be required to be made, in each case, prior to the stated maturity thereof;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this clause (e) shall not apply to (i) secured Indebtedness that becomes subject to a mandatory prepayment or mandatory offer to purchase or redeem as a result of the voluntary sale or transfer of the property or assets securing such Indebtedness, if such sale or transfer is permitted under this Agreement, (ii) Indebtedness that converts into Equity Interests (other than Disqualified Equity Interests) upon the occurrence of certain designated events, so long as no cash payments are required to be made with respect to such conversion or (iii) Indebtedness with respect to which the event or condition giving rise to the default thereunder has been waived or cured prior to the acceleration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the Administrative Borrower or any of its Subsidiaries (i) shall institute any proceeding or voluntary case or other process seeking to adjudicate it a bankrupt or insolvent, or seeking dissolution, liquidation, winding up, reorganization, arrangement (by way of voluntary arrangement, scheme of arrangement or otherwise), adjustment, protection, moratorium, relief or composition of it or its debts under any law relating to bankruptcy, insolvency, administration, reorganization or relief of debtors, or seeking the entry of an order for relief or the appointment of a receiver, manager, trustee, custodian, supervisor, monitor, administrator, administrative receiver, liquidator or other similar official for any such Person for all or for any substantial part of its property or business, (ii) shall be generally not paying its debts as such debts become due or shall admit in writing its inability to pay its debts generally or suspends making payment on any of its debts, (iii) shall make a general composition, compromise, arrangement or assignment for the benefit of one or more creditors (by way of voluntary arrangement, scheme of arrangement or otherwise), (iv) a moratorium declared in respect of any indebtedness, or (v) shall take any corporate action to authorize or effect any of the actions set forth above in this subsection (f) and including, for the avoidance of doubt, the occurrence of any restructuring or insolvency procedure or step being taken in any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any proceeding or other process shall be instituted against any the Administrative Borrower or any of its Subsidiaries seeking to adjudicate it a bankrupt or insolvent, or seeking dissolution, liquidation, winding up, reorganization, administration arrangement (by way of voluntary arrangement, scheme of arrangement or otherwise), adjustment, protection, moratorium, relief of debtors, or seeking the entry of an order for relief or the appointment of a receiver, trustee, manager, custodian, supervisor, monitor, administrator, administrative receiver, liquidator or other similar official for any such Person for all or for any substantial part of its property or business, and either such proceeding or other process shall remain undismissed or unstayed for a period of 60 days or any of the actions sought in such proceeding or other process (including, without limitation, the entry of an order for relief against any such Person or the appointment of a receiver, manager, administrator, administrative receiver, liquidator, trustee, custodian, supervisor, monitor, or other similar official for it or for any substantial part of its property) shall occur, or any analogous procedure or step is taken in any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any material provision of any Loan Document shall at any time for any reason (other than (i) pursuant to the express terms thereof or (ii) as a result of the action or inaction of an Agent or a Lender (to the extent such Agent or Lender has received all information required to be provided to it by the Loan Parties under the Loan Documents to maintain the validity, binding effect and enforceability thereof)) cease to be valid and binding on or enforceable against any Loan Party intended to be a party thereto (other than with respect to any bona fide, good faith dispute as to the scope of Collateral or whether any Lien has been, or is required to be released), or the validity or enforceability thereof shall be contested by any Loan Party thereto, or a proceeding shall be commenced by any Loan Party or any Governmental Authority having jurisdiction over any of them, seeking to establish the invalidity or unenforceability thereof, or any Loan Party shall deny in writing that it has any liability or obligation purported to be created under any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any Security Document, after delivery thereof pursuant hereto, shall for any reason fail or cease to be in full force and effect (other than pursuant to the terms thereof or hereof) or any Loan Party shall so assert, or any Lien created by any of the Security Documents shall cease to be enforceable and of the same effect and priority purported to be created thereby, in each case for any reason other than the failure of any Agent or any other Secured Party to take any action within its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one or more judgments, orders or awards (or any settlement of any litigation or other proceeding that, if breached, could result in a judgment, order or award) for the payment of money exceeding $5,000,000 in the aggregate (except to the extent covered by a reputable and solvent insurance company or a binding third party indemnitee that is financially capable of providing such coverage that has been notified thereof and has not denied coverage therefor) shall be rendered against the Administrative Borrower or any of its Subsidiaries and remain unsatisfied and (i) enforcement proceedings shall have been commenced by any creditor upon any such judgment, order, award or settlement or (ii) there shall be a period of 45 consecutive days after entry thereof during which (A) a stay of enforcement thereof is not be in effect or (B) the same is not vacated, discharged, stayed or bonded pending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any Loan Party is enjoined, restrained or in any way prevented by the order of any court or any Governmental Authority from conducting, all or substantially all of its business for more than 30 consecutive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any Loan Party shall fail to perform or comply with any covenant or agreement contained in Section 5.01(n);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the loss, suspension or revocation of, or failure to renew, any license or Permit now held or hereafter acquired by the Administrative Borrower or any of its Subsidiaries, if such loss, suspension, revocation or failure to renew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the indictment of the Administrative Borrower or any of its Subsidiaries or any senior officer thereof under any criminal statute, or commencement of criminal or civil proceedings against the Administrative Borrower or any of its Subsidiaries or any senior officer thereof, pursuant to which statute or proceedings the penalties or remedies sought or available include forfeiture to any Governmental Authority of any material portion of the property of the Administrative Borrower and its Subsidiaries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(o)    (i) there shall occur one or more ERISA Events that individually or in the aggregate results in, or could reasonably be expected to have a Material Adverse Effect, or (ii) there exists any fact or circumstance that could reasonably be expected to result in the imposition of a Lien pursuant to Section 430(k) of the Internal Revenue Code or Section 4068 of ERISA upon the property or rights to property of any Loan Party or any of its ERISA Affiliates, in each case, to the extent such Lien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    (i) there shall occur and be continuing any “Event of Default” (or any comparable term) under, and as defined in (1) the Existing Indenture or the Existing Notes, or (2) the documents evidencing or governing any subordinated Indebtedness with an aggregate principal amount in excess of $5,000,000, (ii) any of the Obligations for any reason shall cease to be “Senior Indebtedness” or “Designated Senior Indebtedness” (or any comparable terms) under, and as defined in the documents evidencing or governing any subordinated Indebtedness with an aggregate principal amount in excess of $5,000,000 (other than as a result of the action or inaction of an Agent or a Lender), (iii) any Indebtedness other than the Obligations shall constitute “Designated Senior Indebtedness” (or any comparable term) under, and as defined in, the documents evidencing or governing any subordinated Indebtedness (other than as a result of the action or inaction of an Agent or a Lender), (iv) any holder of subordinated Indebtedness with an aggregate principal amount in excess of $5,000,000 shall fail to perform or comply with any of the subordination provisions of the documents evidencing or governing such subordinated Indebtedness, or (v) the subordination provisions of the documents evidencing or governing any subordinated Indebtedness with an aggregate principal amount in excess of $5,000,000 shall, in whole or in part, terminate, cease to be effective or cease to be legally valid, binding and enforceable against any holder of the applicable subordinated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(q)    (1) with respect to the [***], (i) any termination or purported termination thereof; (ii) any breach thereof by any party that is uncured within the applicable cure period; or (iii) any event, act or circumstance (excluding the imposition of tariffs) which impacts, materially and adversely, the rights accruing to or enjoyed by Accuray Asia Ltd in the Chinese Joint Venture, whether such rights should accrue by way of contract, operation of law or otherwise; (2) with respect to [***] entered into between the Administrative Borrower or any of its Subsidiaries and [***] pursuant to the terms of [***], including, in each case, any extensions, renewals or replacements thereof, (i) the Administrative Borrower or any of its Subsidiaries party thereto shall fail to perform and observe, in all material respects, the terms and provisions of each such agreement, or maintain and defend each such agreement in full force and effect in accordance with its terms or (ii) any termination or purported termination thereof; or (3) with respect to [***] between the Administrative Borrower or any of its Subsidiaries (on one hand) and [***] (on the other hand), and subject to the cure period set forth in the following proviso, (a) the aggregate amount of revenue attributable to [***] shall exceed [***], or (b) as of the last day of any rolling three-calendar-month period, the aggregate amount of revenue attributable to [***] shall exceed [***]; provided that, in the event that as of the end of the subsequent three-calendar-month period ending one month thereafter, the [***] would be in compliance with the foregoing test, then no Event of Default shall be deemed to have occurred pursuant to this clause (q)(3)(b).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(r)    a Change of Control shall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    any portion in excess of $1,000,000 of the Collateral shall be seized, subject to garnishment or taken by a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(t)    the operations of any Loan Party’s manufacturing facility are interrupted (other than in connection with any regularly scheduled shutdown for employee vacations and/or maintenance in the ordinary course of business) at any time for more than 30 consecutive days, unless such Loan Party shall (i) be entitled to receive for such period of interruption, proceeds of business interruption insurance sufficient to assure that its per diem cash needs during such period is at least equal to its average per diem cash needs for the consecutive three month period immediately preceding the initial date of interruption and (ii) receive such proceeds in the amount described in clause (i) preceding not later than 30 days following the initial date of any such interruption;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notwithstanding the provisions of clauses (i) and (ii) of this section, an Event of Default shall be deemed to have occurred if such Loan Party shall be receiving the proceeds of business interruption insurance for a period of 60 consecutive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(u)    any governmental or quasi-governmental body with legislative or regulatory authority over the Borrowers and/or their Subsidiaries implement any law, regulation or Requirement of Law that has a Material Adverse Effect on the projected performance of the Borrowers and their Subsidiaries, taken as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(v)    the filing of any Adverse Proceeding (including any civil claim under the False Claims Act, Anti-Kickback Statute, or similar proceeding brought by the U.S. Department of Justice) by any Governmental Authority, a civil investigative demand, a subpoena, or a </w:t>
      </w:r>
      <w:r>
        <w:rPr>
          <w:rFonts w:ascii="Times New Roman" w:hAnsi="Times New Roman"/>
          <w:i/>
          <w:caps w:val="false"/>
          <w:smallCaps w:val="false"/>
          <w:sz w:val="20"/>
        </w:rPr>
        <w:t>qui tam</w:t>
      </w:r>
      <w:r>
        <w:rPr>
          <w:rFonts w:ascii="Times New Roman" w:hAnsi="Times New Roman"/>
          <w:caps w:val="false"/>
          <w:smallCaps w:val="false"/>
          <w:sz w:val="20"/>
        </w:rPr>
        <w:t xml:space="preserve"> lawsuit, in each case which could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    the revocation, suspension, termination, rescission, non-renewal, or forfeiture or any similar final administrative action with respect to any Permit of Administrator Borrower or Subsidiary by an insurance company, managed care organization, or Governmental Authority, in each case which could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(x)    the Administrative Borrower shall fail to timely issue any Qualified Equity Interests required to be issued pursuant to clause (i) of the definition of “Permitted Restricted Payment”;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(y)    the Borrowers and/or their Subsidiaries transfer, sell, convey or otherwise dispose of (or threaten to transfer, sell, convey or dispose of) any Material Assets other than (i) transfers, sales, conveyances, or dispositions to a Loan Party or from a Subsidiary that is not a Loan Party to another Subsidiary that is not a Loan Party, (ii) the expiration of a Material Contract in accordance with its terms, or (iii) the expiration of Intellectual Property other than as a result of failure to pay any required annuities or other similar maintenance fees, in each case, without the consent of the Administrative Agent (such consent, for the avoidance of doubt, to be provided in the Administrative Agent’s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then, and in any such event, the Collateral Agent may, and shall at the request of the Required Lenders, by notice to the Administrative Borrower, (i) terminate or reduce all Commitments, whereupon all Commitments shall immediately be so terminated or reduced, (ii) declare all or any portion of the Loans then outstanding to be accelerated and due and payable, whereupon all or such portion of the aggregate principal of all Loans, all accrued and unpaid interest thereon, all fees and all other amounts payable under this Agreement and the other Loan Documents shall become due and payable immediately, together with the payment of the Applicable Premium or Supplemental Premium with respect to the Commitments so terminated and the Loans so repaid, without presentment, demand, protest or further notice of any kind, all of which are hereby expressly waived by each Loan Party and (iii) exercise any and all of its other rights and remedies under applicable law, hereunder and under the other Loan Documents;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upon the occurrence of any Event of Default described in subsection (f) or (g) of this Section 9.01 with respect to any Loan Party, without any notice to any Loan Party or any other Person or any act by any Agent or any Lender, all Commitments shall automatically terminate and all Loans then outstanding, together with all accrued and unpaid interest thereon, all fees and all other amounts due under this Agreement and the other Loan Documents, including, without limitation, the Applicable Premium and the Supplemental Premium, shall be accelerated and become due and payable automatically and immediately, without presentment, demand, protest or notice of any kind, all of which are expressly waived (to the extent permitted by applicable law) by each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w:t>
      </w:r>
      <w:r>
        <w:rPr>
          <w:rFonts w:ascii="Times New Roman" w:hAnsi="Times New Roman"/>
          <w:caps w:val="false"/>
          <w:smallCaps w:val="false"/>
          <w:sz w:val="20"/>
        </w:rPr>
        <w:br/>
        <w:br/>
      </w:r>
      <w:r>
        <w:rPr>
          <w:rFonts w:ascii="Times New Roman" w:hAnsi="Times New Roman"/>
          <w:b/>
          <w:caps w:val="false"/>
          <w:smallCaps w:val="false"/>
          <w:sz w:val="20"/>
        </w:rPr>
        <w:t>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10.01</w:t>
      </w:r>
      <w:r>
        <w:rPr>
          <w:rFonts w:ascii="Times New Roman" w:hAnsi="Times New Roman"/>
          <w:caps w:val="false"/>
          <w:smallCaps w:val="false"/>
          <w:sz w:val="20"/>
          <w:u w:val="single"/>
        </w:rPr>
        <w:t>    Appointment</w:t>
      </w:r>
      <w:r>
        <w:rPr>
          <w:rFonts w:ascii="Times New Roman" w:hAnsi="Times New Roman"/>
          <w:caps w:val="false"/>
          <w:smallCaps w:val="false"/>
          <w:sz w:val="20"/>
        </w:rPr>
        <w:t xml:space="preserve">. Each Lender (and each subsequent maker of any Loan by its making thereof) hereby irrevocably appoints, authorizes and empowers the Administrative Agent and the Collateral Agent to perform the duties of each such Agent as set forth in this Agreement and the other Loan Documents, together with such actions and powers as are reasonably incidental thereto, including: (i) to receive on behalf of each Lender any payment of principal of or interest on the Loans outstanding hereunder and all other amounts accrued hereunder for the account of the Lenders and paid to such Agent, and, subject to Section 2.02 of this Agreement, to distribute promptly to each Lender its Pro Rata Share of all payments so received; (ii) to distribute to each Lender copies of all material notices and agreements received by such Agent and not required to be delivered to each Lender pursuant to the terms of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Agents shall not have any liability to the Lenders for any Agent’s inadvertent failure to distribute any such notices or agreements to the Lenders; (iii) to maintain, in accordance with its customary business practices, ledgers and records reflecting the status of the Obligations, the Loans, and related matters and to maintain, in accordance with its customary business practices, ledgers and records reflecting the status of the Collateral and related matters; (iv) to execute or file any and all financing or similar statements or notices, amendments, renewals, supplements, documents, instruments, proofs of claim, notices and other written agreements with respect to this Agreement or any other Loan Document; (v) to make the Loans and Collateral Agent Advances, for such Agent or on behalf of the applicable Lenders as provided in this Agreement or any other Loan Document; (vi) to perform, exercise, and enforce any and all other rights and remedies of the Lenders with respect to the Loan Parties, the Obligations, or otherwise related to any of same to the extent reasonably incidental to the exercise by such Agent of the rights and remedies specifically authorized to be exercised by such Agent by the terms of this Agreement or any other Loan Document; (vii) to incur and pay such fees necessary or appropriate for the performance and fulfillment of its functions and powers pursuant to this Agreement or any other Loan Document; (viii) subject to Section 10.03, to take such action as such Agent deems appropriate on its behalf to administer the Loans and the Loan Documents and to exercise such other powers delegated to such Agent by the terms hereof or the other Loan Documents (including, without limitation, the power to give or to refuse to give notices, waivers, consents, approvals and instructions and the power to make or to refuse to make determinations and calculations); and (ix) to act with respect to all Collateral under the Loan Documents, including for purposes of acquiring, holding and enforcing any and all Liens on Collateral granted by any of the Loan Parties to secure any of the Obligations. As to any matters not expressly provided for by this Agreement and the other Loan Documents (including, without limitation, enforcement or collection of the Loans), the Agents shall not be required to exercise any discretion or take any action, but shall be required to act or to refrain from acting (and shall be fully protected in so acting or refraining from acting) upon the instructions of the Required Lenders (or such other number or percentage of the Lenders as shall be expressly provided for herein or in the other Loan Documents), and such instructions of the Required Lenders (or such other number or percentage of the Lenders as shall be expressly provided for herein or in the other Loan Documents) shall be binding upon all Lenders and all makers of Loans;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 Agent shall be required to take any action which, in the reasonable opinion of such Agent, exposes such Agent to liability or which is contrary to this Agreement or any other Loan Document or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10.02</w:t>
      </w:r>
      <w:r>
        <w:rPr>
          <w:rFonts w:ascii="Times New Roman" w:hAnsi="Times New Roman"/>
          <w:caps w:val="false"/>
          <w:smallCaps w:val="false"/>
          <w:sz w:val="20"/>
          <w:u w:val="single"/>
        </w:rPr>
        <w:t>    Nature of Duties; Delegation</w:t>
      </w:r>
      <w:r>
        <w:rPr>
          <w:rFonts w:ascii="Times New Roman" w:hAnsi="Times New Roman"/>
          <w:caps w:val="false"/>
          <w:smallCaps w:val="false"/>
          <w:sz w:val="20"/>
        </w:rPr>
        <w:t xml:space="preserve">; Credit Bid. (a) The Agents shall have no duties or responsibilities except those expressly set forth in this Agreement or in the other Loan Documents. The duties of the Agents shall be mechanical and administrative in nature. The Agents shall not have by reason of this Agreement or any other Loan Document a fiduciary relationship in respect of any Lender. Nothing in this Agreement or any other Loan Document, express or implied, is intended to or shall be construed to impose upon the Agents any obligations in respect of this Agreement or any other Loan Document except as expressly set forth herein or therein. Each Lender shall make its own independent investigation of the financial condition and affairs of the Loan Parties in connection with the making and the continuance of the Loans hereunder and shall make its own appraisal of the creditworthiness of the Loan Parties and the value of the Collateral, and the Agents shall have no duty or responsibility, either initially or on a continuing basis, to provide any Lender with any credit or other information with respect thereto, whether coming into their possession before the initial Loan hereunder or at any time or times thereafter,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upon the reasonable request of a Lender, each Agent shall provide to such Lender any documents or reports delivered to such Agent by the Loan Parties pursuant to the terms of this Agreement or any other Loan Document. If any Agent seeks the consent or approval of the Required Lenders (or such other number or percentage of the Lenders as shall be expressly provided for herein or in the other Loan Documents) to the taking or refraining from taking any action hereunder, such Agent shall send notice thereof to each Lender. Each Agent shall promptly notify each Lender any time that the Required Lenders (or such other number or percentage of the Lenders as shall be expressly provided for herein or in the other Loan Documents) have instructed such Agent to act or refrain from acting pursuant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Each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Lender). Any such Person shall benefit from this Article X to the extent provided by the applicable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Subject to the terms of the Agreement Among Lenders, 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(x) at any sale thereof conducted under the provisions of the Bankruptcy Code, including under Sections 363, 1123 or 1129 of the Bankruptcy Code, or any similar laws or regulations in any other jurisdictions to which a Loan Party is subject, or (y) at any other sale or foreclosure or acceptance of collateral in lieu of debt conducted by (or with the consent or at the direction of) the Administrative Agent (whether by judicial action or otherwise) in accordance with any applicable law or regulation.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Section 12.02 of this Agreement) and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Each of the Loan Parties hereby consent to any transaction or action taken in connection with the foregoing and shall cooperate and facilitate any such transaction or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10.03    </w:t>
      </w:r>
      <w:r>
        <w:rPr>
          <w:rFonts w:ascii="Times New Roman" w:hAnsi="Times New Roman"/>
          <w:caps w:val="false"/>
          <w:smallCaps w:val="false"/>
          <w:sz w:val="20"/>
          <w:u w:val="single"/>
        </w:rPr>
        <w:t>Rights, Exculpation, Etc.</w:t>
      </w:r>
      <w:r>
        <w:rPr>
          <w:rFonts w:ascii="Times New Roman" w:hAnsi="Times New Roman"/>
          <w:caps w:val="false"/>
          <w:smallCaps w:val="false"/>
          <w:sz w:val="20"/>
        </w:rPr>
        <w:t xml:space="preserve"> The Agents and their directors, officers, agents or employees shall not be liable for any action taken or omitted to be taken by them under or in connection with this Agreement or the other Loan Documents, except for their own gross negligence or willful misconduct as determined by a final non-appealable judgment of a court of competent jurisdiction. Without limiting the generality of the foregoing, the Agents (i) may treat the payee of any Loan as the owner thereof until the Collateral Agent receives written notice of the assignment or transfer thereof, pursuant to Section 12.07 hereof, signed by such payee and in form satisfactory to the Collateral Agent; (ii) may consult with legal counsel (including, without limitation, counsel to any Agent or counsel to the Loan Parties), independent public accountants, and other experts selected by any of them and shall not be liable for any action taken or omitted to be taken in good faith by any of them in accordance with the advice of such counsel or experts; (iii) make no warranty or representation to any Lender and shall not be responsible to any Lender for any statements, certificates, warranties or representations made in or in connection with this Agreement or the other Loan Documents; (iv) shall not have any duty to ascertain or to inquire as to the performance or observance of any of the terms, covenants or conditions of this Agreement or the other Loan Documents on the part of any Person, the existence or possible existence of any Default or Event of Default (for the avoidance of doubt, the Administrative Agent shall be deemed not to have knowledge or notice of the occurrence of any Default or Event of Default unless the Administrative Agent has received written notice from a Lender or a Borrower referring to this Agreement, describing such Default or Event of Default and stating that such notice is a “notice of default”), or to inspect the Collateral or other property (including, without limitation, the books and records) of any Person; (v) shall not be responsible to any Lender for the due execution, legality, validity, enforceability, genuineness, sufficiency or value of this Agreement or the other Loan Documents or any other instrument or document furnished pursuant hereto or thereto; and (vi) shall not be deemed to have made any representation or warranty regarding the existence, value or collectability of the Collateral, the existence, priority or perfection of the Collateral Agent’s Lien thereon, or any certificate prepared by any Loan Party in connection therewith, nor shall the Agents be responsible or liable to the Lenders for any failure to monitor or maintain any portion of the Collateral. The Agents shall not be liable for any apportionment or distribution of payments made in good faith pursuant to Section 4.03, and if any such apportionment or distribution is subsequently determined to have been made in error, and the sole recourse of any Lender to whom payment was due but not made shall be to recover from other Lenders any payment in excess of the amount which they are determined to be entitled. The Agents may at any time request instructions from the Lenders with respect to any actions or approvals which by the terms of this Agreement or of any of the other Loan Documents the Agents are permitted or required to take or to grant, and if such instructions are promptly requested, the Agents shall be absolutely entitled to refrain from taking any action or to withhold any approval under any of the Loan Documents until they shall have received such instructions from the Required Lenders. Without limiting the foregoing, no Lender shall have any right of action whatsoever against any Agent as a result of such Agent acting or refraining from acting under this Agreement or any of the other Loan Documents in accordance with the instructions of the Required Lenders (or such other number or percentage of the Lenders as shall be expressly provided for herein or in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10.04    </w:t>
      </w:r>
      <w:r>
        <w:rPr>
          <w:rFonts w:ascii="Times New Roman" w:hAnsi="Times New Roman"/>
          <w:caps w:val="false"/>
          <w:smallCaps w:val="false"/>
          <w:sz w:val="20"/>
          <w:u w:val="single"/>
        </w:rPr>
        <w:t>Reliance</w:t>
      </w:r>
      <w:r>
        <w:rPr>
          <w:rFonts w:ascii="Times New Roman" w:hAnsi="Times New Roman"/>
          <w:caps w:val="false"/>
          <w:smallCaps w:val="false"/>
          <w:sz w:val="20"/>
        </w:rPr>
        <w:t>. Each Agent shall be entitled to rely upon any written notices, statements, certificates, orders or other documents or any telephone message believed by it in good faith to be genuine and correct and to have been signed, sent or made by the proper Person, and with respect to all matters pertaining to this Agreement or any of the other Loan Documents and its duties hereunder or thereunder, upon advice of counsel selected by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10.05    </w:t>
      </w:r>
      <w:r>
        <w:rPr>
          <w:rFonts w:ascii="Times New Roman" w:hAnsi="Times New Roman"/>
          <w:caps w:val="false"/>
          <w:smallCaps w:val="false"/>
          <w:sz w:val="20"/>
          <w:u w:val="single"/>
        </w:rPr>
        <w:t>Indemnification</w:t>
      </w:r>
      <w:r>
        <w:rPr>
          <w:rFonts w:ascii="Times New Roman" w:hAnsi="Times New Roman"/>
          <w:caps w:val="false"/>
          <w:smallCaps w:val="false"/>
          <w:sz w:val="20"/>
        </w:rPr>
        <w:t xml:space="preserve">. To the extent that any Agent or any Related Party of the foregoing is not reimbursed and indemnified by any Loan Party, and whether or not such Agent has made demand on any Loan Party for the same, the Lenders will, within five days of written demand by such Agent, reimburse such Agent and such Related Parties for and indemnify such Agent and such Related Parties from and against any and all liabilities, obligations, losses, damages, penalties, actions, judgments, suits, costs, expenses (including, without limitation, client charges and expenses of counsel or any other advisor to such Agent and such Related Parties), advances or disbursements of any kind or nature whatsoever which may be imposed on, incurred by, or asserted against such Agent and the Related Parties in any way relating to or arising out of this Agreement or any of the other Loan Documents or any action taken or omitted by such Agent and such Related Parties under this Agreement or any of the other Loan Documents, in proportion to each Lender's Pro Rata Share, including, without limitation, advances and disbursements made pursuant to Section 10.08;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 Lender shall be liable for any portion of such liabilities, obligations, losses, damages, penalties, actions, judgments, suits, costs, expenses, advances or disbursements for which there has been a final non-appealable judicial determination that such liability resulted from such Agent's or such Related Party's gross negligence or willful misconduct. The obligations of the Lenders under this Section 10.05 shall survive the payment in full of the Loans and the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10.06    </w:t>
      </w:r>
      <w:r>
        <w:rPr>
          <w:rFonts w:ascii="Times New Roman" w:hAnsi="Times New Roman"/>
          <w:caps w:val="false"/>
          <w:smallCaps w:val="false"/>
          <w:sz w:val="20"/>
          <w:u w:val="single"/>
        </w:rPr>
        <w:t>Agents Individually</w:t>
      </w:r>
      <w:r>
        <w:rPr>
          <w:rFonts w:ascii="Times New Roman" w:hAnsi="Times New Roman"/>
          <w:caps w:val="false"/>
          <w:smallCaps w:val="false"/>
          <w:sz w:val="20"/>
        </w:rPr>
        <w:t>. With respect to its Pro Rata Share of the Total Commitment hereunder and the Loans made by it, each Agent shall have and may exercise the same rights and powers hereunder and is subject to the same obligations and liabilities as and to the extent set forth herein for any other Lender or maker of a Loan. The terms “Lenders”, “Required Lenders”, “Required Revolving Lenders”, “Required Delayed Draw Lenders” or any similar terms shall, unless the context clearly otherwise indicates, include each Agent in its individual capacity as a Lender or one of the Required Lenders. Each Agent and its Affiliates may accept deposits from, lend money to, and generally engage in any kind of banking, trust or other business with any Borrower as if it were not acting as an Agent pursuant hereto without any duty to account to the other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10.07    </w:t>
      </w:r>
      <w:r>
        <w:rPr>
          <w:rFonts w:ascii="Times New Roman" w:hAnsi="Times New Roman"/>
          <w:caps w:val="false"/>
          <w:smallCaps w:val="false"/>
          <w:sz w:val="20"/>
          <w:u w:val="single"/>
        </w:rPr>
        <w:t>Successor Agent</w:t>
      </w:r>
      <w:r>
        <w:rPr>
          <w:rFonts w:ascii="Times New Roman" w:hAnsi="Times New Roman"/>
          <w:caps w:val="false"/>
          <w:smallCaps w:val="false"/>
          <w:sz w:val="20"/>
        </w:rPr>
        <w:t>. (a) Any Agent may at any time give at least 30 days prior written notice of its resignation to the Lenders and the Administrative Borrower. Upon receipt of any such notice of resignation, the Required Lenders shall have the right, so long as no Event of Default has occurred and is continuing, with the consent of the Administrative Borrower (such consent not to be unreasonably withheld, delayed or conditioned), and, except with respect to successor Agents that are Affiliates of TCW, to appoint a successor Agent. If no such successor Agent shall have been so appointed by the Required Lenders and shall have accepted such appointment within 30 days after the retiring Agent gives notice of its resignation (or such earlier day as shall be agreed by the Required Lenders) (the “</w:t>
      </w:r>
      <w:r>
        <w:rPr>
          <w:rFonts w:ascii="Times New Roman" w:hAnsi="Times New Roman"/>
          <w:caps w:val="false"/>
          <w:smallCaps w:val="false"/>
          <w:sz w:val="20"/>
          <w:u w:val="single"/>
        </w:rPr>
        <w:t>Resignation Effective Date</w:t>
      </w:r>
      <w:r>
        <w:rPr>
          <w:rFonts w:ascii="Times New Roman" w:hAnsi="Times New Roman"/>
          <w:caps w:val="false"/>
          <w:smallCaps w:val="false"/>
          <w:sz w:val="20"/>
        </w:rPr>
        <w:t>”), then the retiring Agent may (but shall not be obligated to), on behalf of the Lenders, appoint a successor Agent (so long as no Event of Default has occurred and is continuing, with the consent of the Administrative Borrower (such consent not to be unreasonably withheld, delayed or conditioned)). Whether or not a successor Agent has been appointed, such resignation shall become effective in accordance with such notice on the Resignation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With effect from the Resignation Effective Date, (i) the retiring Agent shall be discharged from its duties and obligations hereunder and under the other Loan Documents (except that in the case of any Collateral held by such Agent on behalf of the Lenders under any of the Loan Documents, the retiring Agent shall continue to hold such collateral security until such time as a successor Agent is appointed) and (ii) all payments, communications and determinations provided to be made by, to or through such retiring Agent shall instead be made by or to each Lender directly, until such time, if any, as a successor Agent shall have been appointed as provided for above. Upon the acceptance of a successor’s Agent’s appointment as Agent hereunder, such successor shall succeed to and become vested with all of the rights, powers, privileges and duties of the retiring Agent, and the retiring Agent shall be discharged from all of its duties and obligations hereunder or under the other Loan Documents. After the retiring Agent’s resignation hereunder and under the other Loan Documents, the provisions of this Article, Section 12.04 and Section 12.15 shall continue in effect for the benefit of such retiring Agent in respect of any actions taken or omitted to be taken by it while the retiring Agent was acting as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10.08    </w:t>
      </w:r>
      <w:r>
        <w:rPr>
          <w:rFonts w:ascii="Times New Roman" w:hAnsi="Times New Roman"/>
          <w:caps w:val="false"/>
          <w:smallCaps w:val="false"/>
          <w:sz w:val="20"/>
          <w:u w:val="single"/>
        </w:rPr>
        <w:t>Collateral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Collateral Agent may from time to time make such disbursements and advances (“</w:t>
      </w:r>
      <w:r>
        <w:rPr>
          <w:rFonts w:ascii="Times New Roman" w:hAnsi="Times New Roman"/>
          <w:caps w:val="false"/>
          <w:smallCaps w:val="false"/>
          <w:sz w:val="20"/>
          <w:u w:val="single"/>
        </w:rPr>
        <w:t>Collateral Agent Advances</w:t>
      </w:r>
      <w:r>
        <w:rPr>
          <w:rFonts w:ascii="Times New Roman" w:hAnsi="Times New Roman"/>
          <w:caps w:val="false"/>
          <w:smallCaps w:val="false"/>
          <w:sz w:val="20"/>
        </w:rPr>
        <w:t>”) which the Collateral Agent, in its sole discretion, deems necessary to preserve, protect, prepare for sale or lease or dispose of the Collateral or any portion thereof, to enhance the likelihood or maximize the amount of repayment by the Borrowers of the Loans and other Obligations or to pay any other amount chargeable to the Borrowers pursuant to the terms of this Agreement, including, without limitation, reasonable and documented out-of- pocket costs, fees and expenses as described in Section 12.04. The Collateral Agent Advances shall be repayable on demand and be secured by the Collateral and shall bear interest at a rate per annum equal to the rate then applicable to Reference Rate Loans. The Collateral Agent Advances shall constitute Obligations hereunder which may be charged to the Loan Account in accordance with Section 4.01. The Collateral Agent shall notify each Lender and the Administrative Borrower in writing of each such Collateral Agent Advance, which notice shall include a description of the purpose of such Collateral Agent Advance. Without limitation to its obligations pursuant to Section 10.05, each Lender agrees that it shall make available to the Collateral Agent, upon the Collateral Agent’s demand, in Dollars in immediately available funds, the amount equal to such Lender’s Pro Rata Share of each such Collateral Agent Advance. If such funds are not made available to the Collateral Agent by such Lender, the Collateral Agent shall be entitled to recover such funds on demand from such Lender, together with interest thereon for each day from the date such payment was due until the date such amount is paid to the Collateral Agent, at the Federal Funds Rate for 3 Business Days and thereafter at the Reference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Lenders hereby irrevocably authorize the Collateral Agent, at its option and in its discretion, to release any Lien granted to or held by the Collateral Agent upon any Collateral (i) upon termination of the Total Commitment and payment and satisfaction of all Loans and all other Obligations (other than Contingent Indemnity Obligations) in accordance with the terms hereof; (ii) constituting property being sold or disposed of in the ordinary course of any Loan Party’s business or otherwise in compliance with the terms of this Agreement and the other Loan Documents; (iii) constituting Excluded Property or (iv) if approved, authorized or ratified in writing by the Lenders in accordance with Section 12.02. Upon request by the Collateral Agent at any time, the Lenders will confirm in writing the Collateral Agent’s authority to release particular types or items of Collateral pursuant to this Section 10.08(b).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Without in any manner limiting the Collateral Agent’s authority to act without any specific or further authorization or consent by the Lenders (as set forth in Section 10.08(b)), each Lender agrees to confirm in writing, upon request by the Collateral Agent, the authority to release Collateral conferred upon the Collateral Agent under Section 10.08(b). Upon receipt by the Collateral Agent of confirmation from the Lenders of its authority to release any particular item or types of Collateral (if requested), and upon prior written request by any Loan Party, the Collateral Agent shall (and is hereby irrevocably authorized by the Lenders to) execute such documents as may be necessary to evidence the release of the Liens granted to the Collateral Agent for the benefit of the Agents and the Lenders upon such Collateral;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 the Collateral Agent shall not be required to execute any such document on terms which, in the Collateral Agent’s opinion, would expose the Collateral Agent to liability or create any obligations or entail any consequence other than the release of such Liens without recourse or warranty, and (ii) such release shall not in any manner discharge, affect or impair the Obligations or any Lien upon (or obligations of any Loan Party in respect of) all interests in the Collateral retained by any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Anything contained in any of the Loan Documents to the contrary notwithstanding, the Loan Parties, each Agent and each Lender hereby agree that (i) no Lender shall have any right individually to realize upon any of the Collateral under any Loan Document or to enforce any Guaranty or any other provision of the Loan Documents (including this Agreement), it being understood and agreed that all powers, rights and remedies under the Loan Documents may be exercised solely by the Collateral Agent for the benefit of the Lenders in accordance with the terms thereof, (ii) in the event of a foreclosure by the Collateral Agent on any of the Collateral pursuant to a public or private sale, the Administrative Agent, the Collateral Agent or any Lender may be the purchaser of any or all of such Collateral at any such sale and (iii) the Collateral Agent, as agent for and representative of the Agents and the Lenders (but not any other Agent or any Lender or Lenders in its or their respective individual capacities unless the Required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Collateral Agent under the provisions of the Uniform Commercial Code (including pursuant to Sections 9-610 or 9-620 of the Uniform Commercial Code), (C) at any sale or foreclosure conducted by the Collateral Agent (whether by judicial action or otherwise) in accordance with applicable law or (D) any sale conducted pursuant to the provisions of any Debtor Relief Law (including Section 363 of the Bankruptcy Code), to use and apply all or any of the Obligations as a credit on account of the purchase price for any Collateral payable by the Collateral Agent at such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The Collateral Agent shall have no obligation whatsoever to any Lender to assure that the Collateral exists or is owned by the Loan Parties or is cared for, protected or insured or has been encumbered or that the Lien granted to the Collateral Agent pursuant to this Agreement or any other Loan Document has been properly or sufficiently or lawfully created, perfected, protected or enforced or is entitled to any particular priority, or to exercise at all or in any particular manner or under any duty of care, disclosure or fidelity, or to continue exercising, any of the rights, authorities and powers granted or available to the Collateral Agent in this Section 10.08 or in any other Loan Document, it being understood and agreed that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any other Lender, except as otherwise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10.09    </w:t>
      </w:r>
      <w:r>
        <w:rPr>
          <w:rFonts w:ascii="Times New Roman" w:hAnsi="Times New Roman"/>
          <w:caps w:val="false"/>
          <w:smallCaps w:val="false"/>
          <w:sz w:val="20"/>
          <w:u w:val="single"/>
        </w:rPr>
        <w:t>Agency for Perfection</w:t>
      </w:r>
      <w:r>
        <w:rPr>
          <w:rFonts w:ascii="Times New Roman" w:hAnsi="Times New Roman"/>
          <w:caps w:val="false"/>
          <w:smallCaps w:val="false"/>
          <w:sz w:val="20"/>
        </w:rPr>
        <w:t>. Each Agent and each Lender hereby appoints each other Agent and each other Lender as agent and bailee for the purpose of perfecting the security interests in and liens upon the Collateral in assets which, in accordance with Article 9 of the Uniform Commercial Code, can be perfected only by possession or control (or where the security interest of a secured party with possession or control has priority over the security interest of another secured party) and each Agent and each Lender hereby acknowledges that it holds possession of or otherwise controls any such Collateral for the benefit of the Agents and the Lenders as secured party. Should the Administrative Agent or any Lender obtain possession or control of any such Collateral, the Administrative Agent or such Lender shall notify the Collateral Agent thereof, and, promptly upon the Collateral Agent’s request therefor shall deliver such Collateral to the Collateral Agent or in accordance with the Collateral Agent’s instructions. In addition, any Agent shall also have the power and authority hereunder to appoint such other sub-agents as may be necessary or required under applicable state law or otherwise to perform its duties and enforce its rights with respect to the Collateral and under the Loan Documents. Each Loan Party by its execution and delivery of this Agreement hereby consents to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10.10    </w:t>
      </w:r>
      <w:r>
        <w:rPr>
          <w:rFonts w:ascii="Times New Roman" w:hAnsi="Times New Roman"/>
          <w:caps w:val="false"/>
          <w:smallCaps w:val="false"/>
          <w:sz w:val="20"/>
          <w:u w:val="single"/>
        </w:rPr>
        <w:t>No Reliance on any Agent’s Customer Identification Program</w:t>
      </w:r>
      <w:r>
        <w:rPr>
          <w:rFonts w:ascii="Times New Roman" w:hAnsi="Times New Roman"/>
          <w:caps w:val="false"/>
          <w:smallCaps w:val="false"/>
          <w:sz w:val="20"/>
        </w:rPr>
        <w:t>. Each Lender acknowledges and agrees that neither such Lender, nor any of its Affiliates, participants or assignees, may rely on any Agent to carry out such Lender’s, Affiliate’s, participant’s or assignee’s customer identification program, or other requirements imposed by the USA PATRIOT Act or the regulations issued thereunder, including the regulations set forth in 31 C.F.R. §§ 1010.100(yy), (iii), 1020.100, and 1020.220 (formerly 31 C.F.R. § 103.121), as hereafter amended or replaced (“</w:t>
      </w:r>
      <w:r>
        <w:rPr>
          <w:rFonts w:ascii="Times New Roman" w:hAnsi="Times New Roman"/>
          <w:caps w:val="false"/>
          <w:smallCaps w:val="false"/>
          <w:sz w:val="20"/>
          <w:u w:val="single"/>
        </w:rPr>
        <w:t>CIP Regulations</w:t>
      </w:r>
      <w:r>
        <w:rPr>
          <w:rFonts w:ascii="Times New Roman" w:hAnsi="Times New Roman"/>
          <w:caps w:val="false"/>
          <w:smallCaps w:val="false"/>
          <w:sz w:val="20"/>
        </w:rPr>
        <w:t>”), or any other Anti-Money Laundering Laws, including any programs involving any of the following items relating to or in connection with any of the Loan Parties, their Affiliates or their agents, the Loan Documents or the transactions hereunder or contemplated hereby: (1) any identity verification procedures, (2) any recordkeeping, (3) comparisons with government lists, (4) customer notices or (5) other procedures required under the CIP Regulations or other regulations issued under the USA PATRIOT Act. Each Lender, Affiliate, participant or assignee subject to Section 326 of the USA PATRIOT Act will perform the measures necessary to satisfy its own responsibilities under the CIP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10.11</w:t>
      </w:r>
      <w:r>
        <w:rPr>
          <w:rFonts w:ascii="Times New Roman" w:hAnsi="Times New Roman"/>
          <w:caps w:val="false"/>
          <w:smallCaps w:val="false"/>
          <w:sz w:val="20"/>
          <w:u w:val="single"/>
        </w:rPr>
        <w:t>    No Third-Party Beneficiaries</w:t>
      </w:r>
      <w:r>
        <w:rPr>
          <w:rFonts w:ascii="Times New Roman" w:hAnsi="Times New Roman"/>
          <w:caps w:val="false"/>
          <w:smallCaps w:val="false"/>
          <w:sz w:val="20"/>
        </w:rPr>
        <w:t>. The provisions of this Article are solely for the benefit of the Secured Parties, and no Loan Party shall have rights as a third-party beneficiary of any of such provisions (other than in respect of Sections 10.01, 10.07 and 10.08 solely (i) to the extent a Loan Party has express rights set forth in such Sections or, (ii) in the case of Section 10.01, to the extent a Loan Party needs to rely on the agency provisions thereof in order to make a representation and warranty with respect to the creation and perfection of Liens securing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10.12</w:t>
      </w:r>
      <w:r>
        <w:rPr>
          <w:rFonts w:ascii="Times New Roman" w:hAnsi="Times New Roman"/>
          <w:caps w:val="false"/>
          <w:smallCaps w:val="false"/>
          <w:sz w:val="20"/>
          <w:u w:val="single"/>
        </w:rPr>
        <w:t>    No Fiduciary Relationship</w:t>
      </w:r>
      <w:r>
        <w:rPr>
          <w:rFonts w:ascii="Times New Roman" w:hAnsi="Times New Roman"/>
          <w:caps w:val="false"/>
          <w:smallCaps w:val="false"/>
          <w:sz w:val="20"/>
        </w:rPr>
        <w:t>. It is understood and agreed that the use of the term “agent” herein or in any other Loan Document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10.13</w:t>
      </w:r>
      <w:r>
        <w:rPr>
          <w:rFonts w:ascii="Times New Roman" w:hAnsi="Times New Roman"/>
          <w:caps w:val="false"/>
          <w:smallCaps w:val="false"/>
          <w:sz w:val="20"/>
          <w:u w:val="single"/>
        </w:rPr>
        <w:t>    [Reserved]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10.14</w:t>
      </w:r>
      <w:r>
        <w:rPr>
          <w:rFonts w:ascii="Times New Roman" w:hAnsi="Times New Roman"/>
          <w:caps w:val="false"/>
          <w:smallCaps w:val="false"/>
          <w:sz w:val="20"/>
          <w:u w:val="single"/>
        </w:rPr>
        <w:t>    Collateral Custodian</w:t>
      </w:r>
      <w:r>
        <w:rPr>
          <w:rFonts w:ascii="Times New Roman" w:hAnsi="Times New Roman"/>
          <w:caps w:val="false"/>
          <w:smallCaps w:val="false"/>
          <w:sz w:val="20"/>
        </w:rPr>
        <w:t>. Upon the occurrence and during the continuance of any Event of Default, the Collateral Agent or its designee may at any time and from time to time employ and maintain on the premises of any Loan Party a custodian selected by the Collateral Agent or its designee who shall have full authority to do all acts necessary to protect the Agents’ and the Lenders’ interests. Each Loan Party hereby agrees to, and to cause its Subsidiaries to, cooperate with any such custodian and to do whatever the Collateral Agent or its designee may reasonably request to preserve the Collateral. All costs and expenses incurred by the Collateral Agent or its designee by reason of the employment of the custodian shall be the responsibility of the Borrowers and charged to the Loan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10.15</w:t>
      </w:r>
      <w:r>
        <w:rPr>
          <w:rFonts w:ascii="Times New Roman" w:hAnsi="Times New Roman"/>
          <w:caps w:val="false"/>
          <w:smallCaps w:val="false"/>
          <w:sz w:val="20"/>
          <w:u w:val="single"/>
        </w:rPr>
        <w:t>    Collateral Agent May File Proofs of Claim</w:t>
      </w:r>
      <w:r>
        <w:rPr>
          <w:rFonts w:ascii="Times New Roman" w:hAnsi="Times New Roman"/>
          <w:caps w:val="false"/>
          <w:smallCaps w:val="false"/>
          <w:sz w:val="20"/>
        </w:rPr>
        <w:t>. In case of the pendency of any proceeding under any Debtor Relief Law or any other judicial proceeding relative to any Loan Party, the Collateral Agent (irrespective of whether the principal of any Loan shall then be due and payable as herein expressed or by declaration or otherwise and irrespective of whether any Agent shall have made any demand on the Borrowers) shall be entitled and empowered (but not obligated) by intervention in such proceeding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(including any claim for the compensation, expenses, disbursements and advances of the Secured Parties and their respective agents and counsel and all other amounts due the Secured Parties hereunder and under the other Loan Documents) allowed in such judicial proceeding;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to collect and receive any monies or other property payable or deliverable on any such claims and to distribute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and any custodian, receiver, assignee, trustee, liquidator, sequestrator or other similar official in any such judicial proceeding is hereby authorized by each Secured Party to make such payments to the Collateral Agent and, in the event that the Collateral Agent shall consent to the making of such payments directly to the Secured Parties, to pay to the Collateral Agent any amount due for the reasonable compensation, expenses, disbursements and advances of the Collateral Agent and its agents and counsel, and any other amounts due the Collateral Agent hereunder and under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10.16    </w:t>
      </w:r>
      <w:r>
        <w:rPr>
          <w:rFonts w:ascii="Times New Roman" w:hAnsi="Times New Roman"/>
          <w:caps w:val="false"/>
          <w:smallCaps w:val="false"/>
          <w:sz w:val="20"/>
          <w:u w:val="single"/>
        </w:rPr>
        <w:t>Erroneous Distribution</w:t>
      </w:r>
      <w:r>
        <w:rPr>
          <w:rFonts w:ascii="Times New Roman" w:hAnsi="Times New Roman"/>
          <w:caps w:val="false"/>
          <w:smallCaps w:val="false"/>
          <w:sz w:val="20"/>
        </w:rPr>
        <w:t>. If all or any part of any payment or other distribution by or on behalf of the Administrative Agent to any Borrower, Lender or other Person is determined by such Agent in its sole discretion to have been made in error as determined by such Agent (any such distribution, an “</w:t>
      </w:r>
      <w:r>
        <w:rPr>
          <w:rFonts w:ascii="Times New Roman" w:hAnsi="Times New Roman"/>
          <w:caps w:val="false"/>
          <w:smallCaps w:val="false"/>
          <w:sz w:val="20"/>
          <w:u w:val="single"/>
        </w:rPr>
        <w:t>Erroneous Distribution</w:t>
      </w:r>
      <w:r>
        <w:rPr>
          <w:rFonts w:ascii="Times New Roman" w:hAnsi="Times New Roman"/>
          <w:caps w:val="false"/>
          <w:smallCaps w:val="false"/>
          <w:sz w:val="20"/>
        </w:rPr>
        <w:t>”), then the relevant Borrower, Lender or other Person shall forthwith on written demand (accompanied by a reasonably detailed calculation of such Erroneous Distribution) repay to such Agent the amount of such Erroneous Distribution received by such Person. Any determination by the Administrative Agent, in its sole discretion, that all or a portion of any distribution to a Borrower, Lender or other Person was an Erroneous Distribution shall be conclusive absent manifest error. Each Borrower, Lender and other potential recipient of an Erroneous Distribution hereunder waives any claim of discharge for value and any other claim of entitlement to, or in respect of, any Erroneous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10.17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10.18    </w:t>
      </w:r>
      <w:r>
        <w:rPr>
          <w:rFonts w:ascii="Times New Roman" w:hAnsi="Times New Roman"/>
          <w:caps w:val="false"/>
          <w:smallCaps w:val="false"/>
          <w:sz w:val="20"/>
          <w:u w:val="single"/>
        </w:rPr>
        <w:t>Swiss Security Documents</w:t>
      </w:r>
      <w:r>
        <w:rPr>
          <w:rFonts w:ascii="Times New Roman" w:hAnsi="Times New Roman"/>
          <w:caps w:val="false"/>
          <w:smallCaps w:val="false"/>
          <w:sz w:val="20"/>
        </w:rPr>
        <w:t>. In relation to any Swiss Security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Collateral Agent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hold and administer any Lien created or expressed to be created pursuant to a Swiss Security Document by way of a security assignment (</w:t>
      </w:r>
      <w:r>
        <w:rPr>
          <w:rFonts w:ascii="Times New Roman" w:hAnsi="Times New Roman"/>
          <w:i/>
          <w:caps w:val="false"/>
          <w:smallCaps w:val="false"/>
          <w:sz w:val="20"/>
        </w:rPr>
        <w:t>Sicherungsabtretung</w:t>
      </w:r>
      <w:r>
        <w:rPr>
          <w:rFonts w:ascii="Times New Roman" w:hAnsi="Times New Roman"/>
          <w:caps w:val="false"/>
          <w:smallCaps w:val="false"/>
          <w:sz w:val="20"/>
        </w:rPr>
        <w:t>) or transfer for security purposes (</w:t>
      </w:r>
      <w:r>
        <w:rPr>
          <w:rFonts w:ascii="Times New Roman" w:hAnsi="Times New Roman"/>
          <w:i/>
          <w:caps w:val="false"/>
          <w:smallCaps w:val="false"/>
          <w:sz w:val="20"/>
        </w:rPr>
        <w:t>Sicherungs</w:t>
      </w:r>
      <w:r>
        <w:rPr>
          <w:rFonts w:ascii="Times New Roman" w:hAnsi="Times New Roman"/>
          <w:caps w:val="false"/>
          <w:smallCaps w:val="false"/>
          <w:sz w:val="20"/>
        </w:rPr>
        <w:t>ü</w:t>
      </w:r>
      <w:r>
        <w:rPr>
          <w:rFonts w:ascii="Times New Roman" w:hAnsi="Times New Roman"/>
          <w:i/>
          <w:caps w:val="false"/>
          <w:smallCaps w:val="false"/>
          <w:sz w:val="20"/>
        </w:rPr>
        <w:t>bereignung</w:t>
      </w:r>
      <w:r>
        <w:rPr>
          <w:rFonts w:ascii="Times New Roman" w:hAnsi="Times New Roman"/>
          <w:caps w:val="false"/>
          <w:smallCaps w:val="false"/>
          <w:sz w:val="20"/>
        </w:rPr>
        <w:t>) or any other non-accessory (</w:t>
      </w:r>
      <w:r>
        <w:rPr>
          <w:rFonts w:ascii="Times New Roman" w:hAnsi="Times New Roman"/>
          <w:i/>
          <w:caps w:val="false"/>
          <w:smallCaps w:val="false"/>
          <w:sz w:val="20"/>
        </w:rPr>
        <w:t>nicht akzessorische</w:t>
      </w:r>
      <w:r>
        <w:rPr>
          <w:rFonts w:ascii="Times New Roman" w:hAnsi="Times New Roman"/>
          <w:caps w:val="false"/>
          <w:smallCaps w:val="false"/>
          <w:sz w:val="20"/>
        </w:rPr>
        <w:t>) Lien;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the benefit of this paragraph;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(B)    any proceeds or other benefits of such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as indirect representative (</w:t>
      </w:r>
      <w:r>
        <w:rPr>
          <w:rFonts w:ascii="Times New Roman" w:hAnsi="Times New Roman"/>
          <w:i/>
          <w:caps w:val="false"/>
          <w:smallCaps w:val="false"/>
          <w:sz w:val="20"/>
        </w:rPr>
        <w:t>indirekter Stellvertreter</w:t>
      </w:r>
      <w:r>
        <w:rPr>
          <w:rFonts w:ascii="Times New Roman" w:hAnsi="Times New Roman"/>
          <w:caps w:val="false"/>
          <w:smallCaps w:val="false"/>
          <w:sz w:val="20"/>
        </w:rPr>
        <w:t>) in its own name but on behalf and for the benefit of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each Secured Party hereby authorizes the Collateral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to (x) accept and execute as its direct representative (</w:t>
      </w:r>
      <w:r>
        <w:rPr>
          <w:rFonts w:ascii="Times New Roman" w:hAnsi="Times New Roman"/>
          <w:i/>
          <w:caps w:val="false"/>
          <w:smallCaps w:val="false"/>
          <w:sz w:val="20"/>
        </w:rPr>
        <w:t>direkter Stellvertreter</w:t>
      </w:r>
      <w:r>
        <w:rPr>
          <w:rFonts w:ascii="Times New Roman" w:hAnsi="Times New Roman"/>
          <w:caps w:val="false"/>
          <w:smallCaps w:val="false"/>
          <w:sz w:val="20"/>
        </w:rPr>
        <w:t>) any Swiss law pledge or any other Swiss law accessory (</w:t>
      </w:r>
      <w:r>
        <w:rPr>
          <w:rFonts w:ascii="Times New Roman" w:hAnsi="Times New Roman"/>
          <w:i/>
          <w:caps w:val="false"/>
          <w:smallCaps w:val="false"/>
          <w:sz w:val="20"/>
        </w:rPr>
        <w:t>akzessorische</w:t>
      </w:r>
      <w:r>
        <w:rPr>
          <w:rFonts w:ascii="Times New Roman" w:hAnsi="Times New Roman"/>
          <w:caps w:val="false"/>
          <w:smallCaps w:val="false"/>
          <w:sz w:val="20"/>
        </w:rPr>
        <w:t>) Lien created or expressed to be created under or pursuant to a Swiss Security Document for the benefit of such Secured Party and (y) hold, administer and, if necessary, enforce any such Lien on behalf of each relevant Secured Party which has the benefit of such Lien;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(B)    to agree as its direct representative (</w:t>
      </w:r>
      <w:r>
        <w:rPr>
          <w:rFonts w:ascii="Times New Roman" w:hAnsi="Times New Roman"/>
          <w:i/>
          <w:caps w:val="false"/>
          <w:smallCaps w:val="false"/>
          <w:sz w:val="20"/>
        </w:rPr>
        <w:t>direkter Stellvertreter</w:t>
      </w:r>
      <w:r>
        <w:rPr>
          <w:rFonts w:ascii="Times New Roman" w:hAnsi="Times New Roman"/>
          <w:caps w:val="false"/>
          <w:smallCaps w:val="false"/>
          <w:sz w:val="20"/>
        </w:rPr>
        <w:t>) to amendments, confirmations and alterations to any Swiss Security Document which creates a pledge or any other Swiss law accessory (</w:t>
      </w:r>
      <w:r>
        <w:rPr>
          <w:rFonts w:ascii="Times New Roman" w:hAnsi="Times New Roman"/>
          <w:i/>
          <w:caps w:val="false"/>
          <w:smallCaps w:val="false"/>
          <w:sz w:val="20"/>
        </w:rPr>
        <w:t>akzessorische</w:t>
      </w:r>
      <w:r>
        <w:rPr>
          <w:rFonts w:ascii="Times New Roman" w:hAnsi="Times New Roman"/>
          <w:caps w:val="false"/>
          <w:smallCaps w:val="false"/>
          <w:sz w:val="20"/>
        </w:rPr>
        <w:t>) Lien;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(C)    to effect as its direct representative (</w:t>
      </w:r>
      <w:r>
        <w:rPr>
          <w:rFonts w:ascii="Times New Roman" w:hAnsi="Times New Roman"/>
          <w:i/>
          <w:caps w:val="false"/>
          <w:smallCaps w:val="false"/>
          <w:sz w:val="20"/>
        </w:rPr>
        <w:t>direkter Stellvertreter</w:t>
      </w:r>
      <w:r>
        <w:rPr>
          <w:rFonts w:ascii="Times New Roman" w:hAnsi="Times New Roman"/>
          <w:caps w:val="false"/>
          <w:smallCaps w:val="false"/>
          <w:sz w:val="20"/>
        </w:rPr>
        <w:t>) any release of Lien created under a Swiss Security Document in accordance with this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(D)    to exercise as its direct representative (</w:t>
      </w:r>
      <w:r>
        <w:rPr>
          <w:rFonts w:ascii="Times New Roman" w:hAnsi="Times New Roman"/>
          <w:i/>
          <w:caps w:val="false"/>
          <w:smallCaps w:val="false"/>
          <w:sz w:val="20"/>
        </w:rPr>
        <w:t>direkter Stellvertreter</w:t>
      </w:r>
      <w:r>
        <w:rPr>
          <w:rFonts w:ascii="Times New Roman" w:hAnsi="Times New Roman"/>
          <w:caps w:val="false"/>
          <w:smallCaps w:val="false"/>
          <w:sz w:val="20"/>
        </w:rPr>
        <w:t>) such other rights, remedies, powers and discretions granted to the Collateral Agent under this Agreement or under the relevant Swiss Security Document;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(E)    to take such other action in its name and on its behalf as its direct representative (</w:t>
      </w:r>
      <w:r>
        <w:rPr>
          <w:rFonts w:ascii="Times New Roman" w:hAnsi="Times New Roman"/>
          <w:i/>
          <w:caps w:val="false"/>
          <w:smallCaps w:val="false"/>
          <w:sz w:val="20"/>
        </w:rPr>
        <w:t>direkter Stellvertreter</w:t>
      </w:r>
      <w:r>
        <w:rPr>
          <w:rFonts w:ascii="Times New Roman" w:hAnsi="Times New Roman"/>
          <w:caps w:val="false"/>
          <w:smallCaps w:val="false"/>
          <w:sz w:val="20"/>
        </w:rPr>
        <w:t>) as may from time to time be authorized under or in accordance with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Each of the Loan Parties and the Secured Parties hereby releases the Collateral Agent from the restrictions of representing several parties (</w:t>
      </w:r>
      <w:r>
        <w:rPr>
          <w:rFonts w:ascii="Times New Roman" w:hAnsi="Times New Roman"/>
          <w:i/>
          <w:caps w:val="false"/>
          <w:smallCaps w:val="false"/>
          <w:sz w:val="20"/>
        </w:rPr>
        <w:t>Doppel-/Mehrfachvertretung</w:t>
      </w:r>
      <w:r>
        <w:rPr>
          <w:rFonts w:ascii="Times New Roman" w:hAnsi="Times New Roman"/>
          <w:caps w:val="false"/>
          <w:smallCaps w:val="false"/>
          <w:sz w:val="20"/>
        </w:rPr>
        <w:t>) or engaging in self-dealing (</w:t>
      </w:r>
      <w:r>
        <w:rPr>
          <w:rFonts w:ascii="Times New Roman" w:hAnsi="Times New Roman"/>
          <w:i/>
          <w:caps w:val="false"/>
          <w:smallCaps w:val="false"/>
          <w:sz w:val="20"/>
        </w:rPr>
        <w:t>Selbstkontrahieren</w:t>
      </w:r>
      <w:r>
        <w:rPr>
          <w:rFonts w:ascii="Times New Roman" w:hAnsi="Times New Roman"/>
          <w:caps w:val="false"/>
          <w:smallCaps w:val="false"/>
          <w:sz w:val="20"/>
        </w:rPr>
        <w:t>) and similar restrictions under any applicable law, in each case to the extent legally possible for such Loan Party or Secured Party. Any Loan Party or Secured Party prevented by applicable law or its constitutional documents to grant the release from the restrictions of representing several parties (</w:t>
      </w:r>
      <w:r>
        <w:rPr>
          <w:rFonts w:ascii="Times New Roman" w:hAnsi="Times New Roman"/>
          <w:i/>
          <w:caps w:val="false"/>
          <w:smallCaps w:val="false"/>
          <w:sz w:val="20"/>
        </w:rPr>
        <w:t>Doppel-/Mehrfachvertretung</w:t>
      </w:r>
      <w:r>
        <w:rPr>
          <w:rFonts w:ascii="Times New Roman" w:hAnsi="Times New Roman"/>
          <w:caps w:val="false"/>
          <w:smallCaps w:val="false"/>
          <w:sz w:val="20"/>
        </w:rPr>
        <w:t>) or engaging in self-dealing (</w:t>
      </w:r>
      <w:r>
        <w:rPr>
          <w:rFonts w:ascii="Times New Roman" w:hAnsi="Times New Roman"/>
          <w:i/>
          <w:caps w:val="false"/>
          <w:smallCaps w:val="false"/>
          <w:sz w:val="20"/>
        </w:rPr>
        <w:t>Selbstkontrahieren</w:t>
      </w:r>
      <w:r>
        <w:rPr>
          <w:rFonts w:ascii="Times New Roman" w:hAnsi="Times New Roman"/>
          <w:caps w:val="false"/>
          <w:smallCaps w:val="false"/>
          <w:sz w:val="20"/>
        </w:rPr>
        <w:t>) shall notify the Collateral Agent without undue delay.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10.19    </w:t>
      </w:r>
      <w:r>
        <w:rPr>
          <w:rFonts w:ascii="Times New Roman" w:hAnsi="Times New Roman"/>
          <w:caps w:val="false"/>
          <w:smallCaps w:val="false"/>
          <w:sz w:val="20"/>
          <w:u w:val="single"/>
        </w:rPr>
        <w:t>Parallel Debt; Covenant to Pay the Collateral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Loan Party, by way of an independent payment obligation, hereby irrevocably and unconditionally undertakes to pay to the Collateral Agent, as creditor in its own right and not as representative of the other Secured Parties, sums equal to and in the currency of each amount payable by such Loan Party to any of the Secured Parties under the Obligations as and when that amount falls due for payment under the Obligations. The parties to this Agreement acknowledge and confirm that the parallel debt provisions contained herein shall not be interpreted so as to increase the maximum total amount of the obligations under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obligations of each Loan Party under clause (a) above are several and are separate and independent from, and shall not in any way limit or affect, the corresponding obligations of such Loan Party to any Secured Party under the Obligations (its “</w:t>
      </w:r>
      <w:r>
        <w:rPr>
          <w:rFonts w:ascii="Times New Roman" w:hAnsi="Times New Roman"/>
          <w:caps w:val="false"/>
          <w:smallCaps w:val="false"/>
          <w:sz w:val="20"/>
          <w:u w:val="single"/>
        </w:rPr>
        <w:t>Corresponding Debt</w:t>
      </w:r>
      <w:r>
        <w:rPr>
          <w:rFonts w:ascii="Times New Roman" w:hAnsi="Times New Roman"/>
          <w:caps w:val="false"/>
          <w:smallCaps w:val="false"/>
          <w:sz w:val="20"/>
        </w:rPr>
        <w:t>”) nor shall the amounts for which each Loan Party is liable under clause (a) above (its “</w:t>
      </w:r>
      <w:r>
        <w:rPr>
          <w:rFonts w:ascii="Times New Roman" w:hAnsi="Times New Roman"/>
          <w:caps w:val="false"/>
          <w:smallCaps w:val="false"/>
          <w:sz w:val="20"/>
          <w:u w:val="single"/>
        </w:rPr>
        <w:t>Parallel Debt</w:t>
      </w:r>
      <w:r>
        <w:rPr>
          <w:rFonts w:ascii="Times New Roman" w:hAnsi="Times New Roman"/>
          <w:caps w:val="false"/>
          <w:smallCaps w:val="false"/>
          <w:sz w:val="20"/>
        </w:rPr>
        <w:t>”) be limited or affected in any way by its Corresponding Debt; provided that: (x) the Collateral Agent shall not demand payment with regard to the Parallel Debt of any Loan Party to the extent that such Loan Party's Corresponding Debt has been paid or (in the case of guarantee obligations) discharged and (y) neither the Collateral Agent nor any Secured Party shall demand payment with regard to the Corresponding Debt of any Loan Party to the extent that such Loan Party's Parallel Debt has been paid or (in the case of guarantee obligations) discharged.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Collateral Agent acts in its own name and not as trustee or representative and it shall have its own independent right to demand payment of the amounts payable by each Loan Party under this Section 10.19. The Collateral Agent may not assign or transfer any claim arising from the Parallel Debt other than to any successor security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Any amount due and payable by a Loan Party to the Collateral Agent in respect of a Parallel Debt under this Section 10.19 shall be decreased to the extent that such Loan Party has paid the corresponding amount under the Corresponding Debt and any amount due and payable by a Loan Party to the other applicable Secured Parties under the Corresponding Debt shall be decreased to the extent that such Loan Party has paid the corresponding amount to the Collateral Agent under its Parallel Debt. The Loan Parties shall have all objections and defenses against the Parallel Debt which they have against the Corresponding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The rights of the Secured Parties (other than the Collateral Agent in its capacity as parallel debt creditor) to receive payment of amounts payable by each Loan Party under the Corresponding Debt are several and are separate and independent from, and without prejudice to, the rights of the Collateral Agent to receive payment under the Parallel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XI</w:t>
      </w:r>
      <w:r>
        <w:rPr>
          <w:rFonts w:ascii="Times New Roman" w:hAnsi="Times New Roman"/>
          <w:caps w:val="false"/>
          <w:smallCaps w:val="false"/>
          <w:sz w:val="20"/>
        </w:rPr>
        <w:br/>
        <w:br/>
      </w:r>
      <w:r>
        <w:rPr>
          <w:rFonts w:ascii="Times New Roman" w:hAnsi="Times New Roman"/>
          <w:b/>
          <w:caps w:val="false"/>
          <w:smallCaps w:val="false"/>
          <w:sz w:val="20"/>
        </w:rPr>
        <w:t>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11.01</w:t>
      </w:r>
      <w:r>
        <w:rPr>
          <w:rFonts w:ascii="Times New Roman" w:hAnsi="Times New Roman"/>
          <w:caps w:val="false"/>
          <w:smallCaps w:val="false"/>
          <w:sz w:val="20"/>
          <w:u w:val="single"/>
        </w:rPr>
        <w:t> </w:t>
      </w:r>
      <w:r>
        <w:rPr>
          <w:rFonts w:ascii="Times New Roman" w:hAnsi="Times New Roman"/>
          <w:caps w:val="false"/>
          <w:smallCaps w:val="false"/>
          <w:sz w:val="20"/>
        </w:rPr>
        <w:t>   </w:t>
      </w:r>
      <w:r>
        <w:rPr>
          <w:rFonts w:ascii="Times New Roman" w:hAnsi="Times New Roman"/>
          <w:caps w:val="false"/>
          <w:smallCaps w:val="false"/>
          <w:sz w:val="20"/>
          <w:u w:val="single"/>
        </w:rPr>
        <w:t>Guaranty</w:t>
      </w:r>
      <w:r>
        <w:rPr>
          <w:rFonts w:ascii="Times New Roman" w:hAnsi="Times New Roman"/>
          <w:caps w:val="false"/>
          <w:smallCaps w:val="false"/>
          <w:sz w:val="20"/>
        </w:rPr>
        <w:t>. Each Guarantor hereby jointly and severally and unconditionally and irrevocably guarantees the punctual payment when due, whether at stated maturity, by acceleration or otherwise, of all Obligations of the Borrowers now or hereafter existing under any Loan Document, whether for principal, interest (including, without limitation, all interest that accrues after the commencement of any Insolvency Proceeding of any Borrower, whether or not a claim for post-filing interest is allowed in such Insolvency Proceeding), fees, commissions, expense reimbursements, indemnifications or otherwise (such obligations, to the extent not paid by the Borrowers, being the “</w:t>
      </w:r>
      <w:r>
        <w:rPr>
          <w:rFonts w:ascii="Times New Roman" w:hAnsi="Times New Roman"/>
          <w:caps w:val="false"/>
          <w:smallCaps w:val="false"/>
          <w:sz w:val="20"/>
          <w:u w:val="single"/>
        </w:rPr>
        <w:t>Guaranteed Obligations</w:t>
      </w:r>
      <w:r>
        <w:rPr>
          <w:rFonts w:ascii="Times New Roman" w:hAnsi="Times New Roman"/>
          <w:caps w:val="false"/>
          <w:smallCaps w:val="false"/>
          <w:sz w:val="20"/>
        </w:rPr>
        <w:t>”), and agrees to pay any and all reasonable out-of-pocket expenses (including reasonable counsel fees and expenses) incurred by the Secured Parties in enforcing any rights under the guaranty set forth in this Article XI in accordance with Section 12.04. Without limiting the generality of the foregoing, each Guarantor’s liability shall extend to all amounts that constitute part of the Guaranteed Obligations and would be owed by the Borrowers to the Secured Parties under any Loan Document but for the fact that they are unenforceable or not allowable due to the existence of an Insolvency Proceeding involving any Borrower. Notwithstanding any of the foregoing, Guaranteed Obligations shall not include any Excluded Swap Obligations. In no event shall the obligation of any Guarantor hereunder exceed the maximum amount such Guarantor could guarantee under any Debtor Relief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11.02    </w:t>
      </w:r>
      <w:r>
        <w:rPr>
          <w:rFonts w:ascii="Times New Roman" w:hAnsi="Times New Roman"/>
          <w:caps w:val="false"/>
          <w:smallCaps w:val="false"/>
          <w:sz w:val="20"/>
          <w:u w:val="single"/>
        </w:rPr>
        <w:t>Guaranty Absolute</w:t>
      </w:r>
      <w:r>
        <w:rPr>
          <w:rFonts w:ascii="Times New Roman" w:hAnsi="Times New Roman"/>
          <w:caps w:val="false"/>
          <w:smallCaps w:val="false"/>
          <w:sz w:val="20"/>
        </w:rPr>
        <w:t>. Each Guarantor jointly and severally guarantees that the Guaranteed Obligations will be paid strictly in accordance with the terms of the Loan Documents, regardless of any law, regulation or order now or hereafter in effect in any jurisdiction affecting any of such terms or the rights of the Secured Parties with respect thereto. Each Guarantor agrees that this Article XI constitutes a guaranty of payment when due and not of collection and waives (to the extent permitted by applicable law) any right to require that any resort be made by any Agent or any Lender to any Collateral. The obligations of each Guarantor under this Article XI are independent of the Guaranteed Obligations, and a separate action or actions may be brought and prosecuted against each Guarantor to enforce such obligations, irrespective of whether any action is brought against any Loan Party or whether any Loan Party is joined in any such action or actions. The liability of each Guarantor under this Article XI shall be irrevocable, absolute and unconditional irrespective of, and each Guarantor hereby irrevocably waives any defenses it may now or hereafter have in any way relating to, any or all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any lack of validity or enforceability of any Loan Document or any agreement or instrument relating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any change in the time, manner or place of payment of, or in any other term of, all or any of the Guaranteed Obligations, or any other amendment or waiver of or any consent to departure from any Loan Document, including, without limitation, any increase in the Guaranteed Obligations resulting from the extension of additional credit to any Loan Party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any taking, exchange, release or non-perfection of any Collateral, or any taking, release or amendment or waiver of or consent to departure from any other guaranty, for all or any of the Guaranteed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the existence of any claim, set-off, defense or other right that any Guarantor may have at any time against any Person, including, without limitation, any Secured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any change, restructuring or termination of the corporate, limited liability company or partnership structure or existence of any Loan Party;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any other circumstance (including, without limitation, any statute of limitations) or any existence of or reliance on any representation by the Secured Parties that might otherwise constitute a defense available to, or a discharge of, any Loan Party or any other guarantor or surety (in each case other than payment or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Article XI shall continue to be effective or be reinstated, as the case may be, if at any time any payment of any of the Guaranteed Obligations is rescinded or must otherwise be returned by Secured Parties or any other Person upon the insolvency, bankruptcy or reorganization of any Borrower or otherwise, all as though such payment had not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11.03    </w:t>
      </w:r>
      <w:r>
        <w:rPr>
          <w:rFonts w:ascii="Times New Roman" w:hAnsi="Times New Roman"/>
          <w:caps w:val="false"/>
          <w:smallCaps w:val="false"/>
          <w:sz w:val="20"/>
          <w:u w:val="single"/>
        </w:rPr>
        <w:t>Waiver</w:t>
      </w:r>
      <w:r>
        <w:rPr>
          <w:rFonts w:ascii="Times New Roman" w:hAnsi="Times New Roman"/>
          <w:caps w:val="false"/>
          <w:smallCaps w:val="false"/>
          <w:sz w:val="20"/>
        </w:rPr>
        <w:t>. Each Guarantor hereby waives (to the extent permitted by applicable law) (i) promptness and diligence, (ii) notice of acceptance and any other notice with respect to any of the Guaranteed Obligations and this Article XI and any requirement that the Secured Parties exhaust any right or take any action against any Loan Party or any other Person or any Collateral, (iii) any right to compel or direct any Secured Party to seek payment or recovery of any amounts owed under this Article XI from any one particular fund or source or to exhaust any right or take any action against any other Loan Party, any other Person or any Collateral, (iv) any requirement that any Secured Party protect, secure, perfect or insure any security interest or Lien on any property subject thereto or exhaust any right to take any action against any Loan Party, any other Person or any Collateral, and (v) any other defense available to any Guarantor (in each case other than payment or performance). Each Guarantor agrees that the Secured Parties shall have no obligation to marshal any assets in favor of any Guarantor or against, or in payment of, any or all of the Obligations. Each Guarantor acknowledges that it will receive direct and indirect benefits from the financing arrangements contemplated herein and that the waiver set forth in this Section 11.03 is knowingly made in contemplation of such benefits. Each Guarantor hereby waives any right to revoke this Article XI, and acknowledges that this Article XI is continuing in nature and applies to all Guaranteed Obligations, whether existing now or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11.04    </w:t>
      </w:r>
      <w:r>
        <w:rPr>
          <w:rFonts w:ascii="Times New Roman" w:hAnsi="Times New Roman"/>
          <w:caps w:val="false"/>
          <w:smallCaps w:val="false"/>
          <w:sz w:val="20"/>
          <w:u w:val="single"/>
        </w:rPr>
        <w:t>Continuing Guaranty; Assignments</w:t>
      </w:r>
      <w:r>
        <w:rPr>
          <w:rFonts w:ascii="Times New Roman" w:hAnsi="Times New Roman"/>
          <w:caps w:val="false"/>
          <w:smallCaps w:val="false"/>
          <w:sz w:val="20"/>
        </w:rPr>
        <w:t>. This Article XI is a continuing guaranty and shall (a) remain in full force and effect until the later of the cash payment in full of the Guaranteed Obligations (other than Contingent Indemnity Obligations) and all other amounts payable under this Article XI and the Final Maturity Date, (b) be binding upon each Guarantor, its successors and assigns and (c) inure to the benefit of and be enforceable by the Secured Parties and their successors, pledgees, transferees and assigns. Without limiting the generality of the foregoing clause (c), any Lender may pledge, assign or otherwise transfer all or any portion of its rights and obligations under this Agreement (including, without limitation, all or any portion of its Commitments and its Loans owing to it) to any other Person, and such other Person shall thereupon become vested with all the benefits in respect thereof granted such Lender herein or otherwise, in each case as provided in Section 12.07.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11.05    </w:t>
      </w:r>
      <w:r>
        <w:rPr>
          <w:rFonts w:ascii="Times New Roman" w:hAnsi="Times New Roman"/>
          <w:caps w:val="false"/>
          <w:smallCaps w:val="false"/>
          <w:sz w:val="20"/>
          <w:u w:val="single"/>
        </w:rPr>
        <w:t>Subrogation</w:t>
      </w:r>
      <w:r>
        <w:rPr>
          <w:rFonts w:ascii="Times New Roman" w:hAnsi="Times New Roman"/>
          <w:caps w:val="false"/>
          <w:smallCaps w:val="false"/>
          <w:sz w:val="20"/>
        </w:rPr>
        <w:t>. No Guarantor will exercise any rights that it may now or hereafter acquire against any Loan Party or any other guarantor that arise from the existence, payment, performance or enforcement of such Guarantor’s obligations under this Article XI, including, without limitation, any right of subrogation, reimbursement, exoneration, contribution or indemnification and any right to participate in any claim or remedy of the Secured Parties against any Loan Party or any other guarantor or any Collateral, whether or not such claim, remedy or right arises in equity or under contract, statute or common law, including, without limitation, the right to take or receive from any Loan Party or any other guarantor, directly or indirectly, in cash or other property or by set-off or in any other manner, payment or security solely on account of such claim, remedy or right, unless and until all of the Guaranteed Obligations (other than Contingent Indemnity Obligations) and all other amounts payable under this Article XI shall have been paid in full in cash and this Agreement shall have been terminated. If any amount shall be paid to any Guarantor in violation of the immediately preceding sentence at any time prior to the later of the payment in full in cash of the Guaranteed Obligations (other than Contingent Indemnity Obligations) and all other amounts payable under this Article XI and the Final Maturity Date, such amount shall be held for the benefit of the Secured Parties and shall promptly be paid to the Secured Parties to be credited and applied to the Guaranteed Obligations and all other amounts payable under this Article XI, whether matured or unmatured, in accordance with the terms of this Agreement, or to be held as Collateral for any Guaranteed Obligations or other amounts payable under this Article XI thereafter arising. If (i) any Guarantor shall make payment to the Secured Parties of all or any part of the Guaranteed Obligations, (ii) all of the Guaranteed Obligations and all other amounts payable under this Article XI shall be paid in full in cash and (iii) the Final Maturity Date shall have occurred, the Secured Parties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11.06    </w:t>
      </w:r>
      <w:r>
        <w:rPr>
          <w:rFonts w:ascii="Times New Roman" w:hAnsi="Times New Roman"/>
          <w:caps w:val="false"/>
          <w:smallCaps w:val="false"/>
          <w:sz w:val="20"/>
          <w:u w:val="single"/>
        </w:rPr>
        <w:t>Contribution</w:t>
      </w:r>
      <w:r>
        <w:rPr>
          <w:rFonts w:ascii="Times New Roman" w:hAnsi="Times New Roman"/>
          <w:caps w:val="false"/>
          <w:smallCaps w:val="false"/>
          <w:sz w:val="20"/>
        </w:rPr>
        <w:t>. All Guarantors desire to allocate among themselves, in a fair and equitable manner, their obligations arising under this Guaranty. Accordingly, in the event any payment or distribution is made on any date by a Guarantor under this Guaranty such that its Aggregate Payments exceeds its Fair Share as of such date, such Guarantor shall be entitled to a contribution from each of the other Guarantors in an amount sufficient to cause each Guarantor’s Aggregate Payments to equal its Fair Share as of such date. “</w:t>
      </w:r>
      <w:r>
        <w:rPr>
          <w:rFonts w:ascii="Times New Roman" w:hAnsi="Times New Roman"/>
          <w:caps w:val="false"/>
          <w:smallCaps w:val="false"/>
          <w:sz w:val="20"/>
          <w:u w:val="single"/>
        </w:rPr>
        <w:t>Fair Share</w:t>
      </w:r>
      <w:r>
        <w:rPr>
          <w:rFonts w:ascii="Times New Roman" w:hAnsi="Times New Roman"/>
          <w:caps w:val="false"/>
          <w:smallCaps w:val="false"/>
          <w:sz w:val="20"/>
        </w:rPr>
        <w:t>” means, with respect to any Guarantor as of any date of determination, an amount equal to (a) the ratio of (i) the Fair Share Contribution Amount with respect to such Guarantor, to (ii) the aggregate of the Fair Share Contribution Amounts with respect to all Guarantors multiplied by, (b) the aggregate amount paid or distributed on or before such date by all Guarantors under this Guaranty in respect of the obligations Guaranteed. “</w:t>
      </w:r>
      <w:r>
        <w:rPr>
          <w:rFonts w:ascii="Times New Roman" w:hAnsi="Times New Roman"/>
          <w:caps w:val="false"/>
          <w:smallCaps w:val="false"/>
          <w:sz w:val="20"/>
          <w:u w:val="single"/>
        </w:rPr>
        <w:t>Fair Share Contribution Amount</w:t>
      </w:r>
      <w:r>
        <w:rPr>
          <w:rFonts w:ascii="Times New Roman" w:hAnsi="Times New Roman"/>
          <w:caps w:val="false"/>
          <w:smallCaps w:val="false"/>
          <w:sz w:val="20"/>
        </w:rPr>
        <w:t xml:space="preserve">” means, with respect to any Guarantor as of any date of determination, the maximum aggregate amount of the obligations of such Guarantor under this Guaranty that would not render its obligations hereunder subject to avoidance as a fraudulent transfer or conveyance under Section 548 of Title 11 of the United States Code or any comparable applicable provisions of state law or the law of any other applicable jurisdiction; </w:t>
      </w:r>
      <w:r>
        <w:rPr>
          <w:rFonts w:ascii="Times New Roman" w:hAnsi="Times New Roman"/>
          <w:caps w:val="false"/>
          <w:smallCaps w:val="false"/>
          <w:sz w:val="20"/>
          <w:u w:val="single"/>
        </w:rPr>
        <w:t>provided</w:t>
      </w:r>
      <w:r>
        <w:rPr>
          <w:rFonts w:ascii="Times New Roman" w:hAnsi="Times New Roman"/>
          <w:caps w:val="false"/>
          <w:smallCaps w:val="false"/>
          <w:sz w:val="20"/>
        </w:rPr>
        <w:t>, solely for purposes of calculating the “Fair Share Contribution Amount” with respect to any Guarantor for purposes of this Section 11.06, any assets or liabilities of such Guarantor arising by virtue of any rights to subrogation, reimbursement or indemnification or any rights to or obligations of contribution hereunder shall not be considered as assets or liabilities of such Guarantor. “</w:t>
      </w:r>
      <w:r>
        <w:rPr>
          <w:rFonts w:ascii="Times New Roman" w:hAnsi="Times New Roman"/>
          <w:caps w:val="false"/>
          <w:smallCaps w:val="false"/>
          <w:sz w:val="20"/>
          <w:u w:val="single"/>
        </w:rPr>
        <w:t>Aggregate Payments</w:t>
      </w:r>
      <w:r>
        <w:rPr>
          <w:rFonts w:ascii="Times New Roman" w:hAnsi="Times New Roman"/>
          <w:caps w:val="false"/>
          <w:smallCaps w:val="false"/>
          <w:sz w:val="20"/>
        </w:rPr>
        <w:t xml:space="preserve">” means, with respect to any Guarantor as of any date of determination, an amount equal to (A) the aggregate amount of all payments and distributions made on or before such date by such Guarantor in respect of this Guaranty (including, without limitation, in respect of this Section 11.06), </w:t>
      </w:r>
      <w:r>
        <w:rPr>
          <w:rFonts w:ascii="Times New Roman" w:hAnsi="Times New Roman"/>
          <w:caps w:val="false"/>
          <w:smallCaps w:val="false"/>
          <w:sz w:val="20"/>
          <w:u w:val="single"/>
        </w:rPr>
        <w:t xml:space="preserve">minus </w:t>
      </w:r>
      <w:r>
        <w:rPr>
          <w:rFonts w:ascii="Times New Roman" w:hAnsi="Times New Roman"/>
          <w:caps w:val="false"/>
          <w:smallCaps w:val="false"/>
          <w:sz w:val="20"/>
        </w:rPr>
        <w:t>(B) the aggregate amount of all payments received on or before such date by such Guarantor from the other Guarantors as contributions under this Section 11.06. The amounts payable as contributions hereunder shall be determined as of the date on which the related payment or distribution is made by the applicable Guarantor. The allocation among Guarantors of their obligations as set forth in this Section 11.06 shall not be construed in any way to limit the liability of any Guarantor hereunder. Each Guarantor is a third party beneficiary to the contribution agreement set forth in this Section 11.06.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11.07    </w:t>
      </w:r>
      <w:r>
        <w:rPr>
          <w:rFonts w:ascii="Times New Roman" w:hAnsi="Times New Roman"/>
          <w:caps w:val="false"/>
          <w:smallCaps w:val="false"/>
          <w:sz w:val="20"/>
          <w:u w:val="single"/>
        </w:rPr>
        <w:t>Discharge of Guaranty Upon Sale of Guarantor</w:t>
      </w:r>
      <w:r>
        <w:rPr>
          <w:rFonts w:ascii="Times New Roman" w:hAnsi="Times New Roman"/>
          <w:caps w:val="false"/>
          <w:smallCaps w:val="false"/>
          <w:sz w:val="20"/>
        </w:rPr>
        <w:t>. The Lenders irrevocably authorize the Administrative Agent, at its option and in its discretion to discharge and release the Guaranty of any Guarantor upon the sale or disposition (including by merger or consolidation) of all of its Equity Interests in a transaction permitted hereunder, effective as of the time of such sale or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11.08    </w:t>
      </w:r>
      <w:r>
        <w:rPr>
          <w:rFonts w:ascii="Times New Roman" w:hAnsi="Times New Roman"/>
          <w:caps w:val="false"/>
          <w:smallCaps w:val="false"/>
          <w:sz w:val="20"/>
          <w:u w:val="single"/>
        </w:rPr>
        <w:t>Swiss Guaranty Limitation</w:t>
      </w:r>
      <w:r>
        <w:rPr>
          <w:rFonts w:ascii="Times New Roman" w:hAnsi="Times New Roman"/>
          <w:caps w:val="false"/>
          <w:smallCaps w:val="false"/>
          <w:sz w:val="20"/>
        </w:rPr>
        <w:t>. Notwithstanding anything to the contrary contained in this Agreement or any other Loan Document, the obligations of a Swiss Guarantor and the rights of the Secured Parties under the Guaranty are subject to the following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If and to the extent that a Swiss Guarantor becomes (directly or indirectly) liable (inter alia, by any guaranty, indemnity or other obligation assumed by it including for the avoidance of doubt, any restrictions of such Swiss Guarantor’s rights of set-off and/or subrogation or its duties to subordinate or waive claims, if any) under this Agreement or any other Loan Document for obligations of any of its (direct or indirect) parent company or its sister companies (upstream or cross-stream) (the “</w:t>
      </w:r>
      <w:r>
        <w:rPr>
          <w:rFonts w:ascii="Times New Roman" w:hAnsi="Times New Roman"/>
          <w:caps w:val="false"/>
          <w:smallCaps w:val="false"/>
          <w:sz w:val="20"/>
          <w:u w:val="single"/>
        </w:rPr>
        <w:t>Upstream or Cross-Stream Obligations</w:t>
      </w:r>
      <w:r>
        <w:rPr>
          <w:rFonts w:ascii="Times New Roman" w:hAnsi="Times New Roman"/>
          <w:caps w:val="false"/>
          <w:smallCaps w:val="false"/>
          <w:sz w:val="20"/>
        </w:rPr>
        <w:t>”), and if and to the extent payments under such guaranty or indemnity or using the proceeds from the enforcement of any such guaranty, indemnity or any such other obligation to discharge the Upstream or Cross-Stream Obligations would constitute a repayment of capital (</w:t>
      </w:r>
      <w:r>
        <w:rPr>
          <w:rFonts w:ascii="Times New Roman" w:hAnsi="Times New Roman"/>
          <w:i/>
          <w:caps w:val="false"/>
          <w:smallCaps w:val="false"/>
          <w:sz w:val="20"/>
        </w:rPr>
        <w:t>Einlager</w:t>
      </w:r>
      <w:r>
        <w:rPr>
          <w:rFonts w:ascii="Times New Roman" w:hAnsi="Times New Roman"/>
          <w:caps w:val="false"/>
          <w:smallCaps w:val="false"/>
          <w:sz w:val="20"/>
        </w:rPr>
        <w:t>ü</w:t>
      </w:r>
      <w:r>
        <w:rPr>
          <w:rFonts w:ascii="Times New Roman" w:hAnsi="Times New Roman"/>
          <w:i/>
          <w:caps w:val="false"/>
          <w:smallCaps w:val="false"/>
          <w:sz w:val="20"/>
        </w:rPr>
        <w:t>ckgew</w:t>
      </w:r>
      <w:r>
        <w:rPr>
          <w:rFonts w:ascii="Times New Roman" w:hAnsi="Times New Roman"/>
          <w:caps w:val="false"/>
          <w:smallCaps w:val="false"/>
          <w:sz w:val="20"/>
        </w:rPr>
        <w:t>ä</w:t>
      </w:r>
      <w:r>
        <w:rPr>
          <w:rFonts w:ascii="Times New Roman" w:hAnsi="Times New Roman"/>
          <w:i/>
          <w:caps w:val="false"/>
          <w:smallCaps w:val="false"/>
          <w:sz w:val="20"/>
        </w:rPr>
        <w:t>hr/Kapitalr</w:t>
      </w:r>
      <w:r>
        <w:rPr>
          <w:rFonts w:ascii="Times New Roman" w:hAnsi="Times New Roman"/>
          <w:caps w:val="false"/>
          <w:smallCaps w:val="false"/>
          <w:sz w:val="20"/>
        </w:rPr>
        <w:t>ü</w:t>
      </w:r>
      <w:r>
        <w:rPr>
          <w:rFonts w:ascii="Times New Roman" w:hAnsi="Times New Roman"/>
          <w:i/>
          <w:caps w:val="false"/>
          <w:smallCaps w:val="false"/>
          <w:sz w:val="20"/>
        </w:rPr>
        <w:t>ckzahlung</w:t>
      </w:r>
      <w:r>
        <w:rPr>
          <w:rFonts w:ascii="Times New Roman" w:hAnsi="Times New Roman"/>
          <w:caps w:val="false"/>
          <w:smallCaps w:val="false"/>
          <w:sz w:val="20"/>
        </w:rPr>
        <w:t>), a violation of the legally protected reserves (</w:t>
      </w:r>
      <w:r>
        <w:rPr>
          <w:rFonts w:ascii="Times New Roman" w:hAnsi="Times New Roman"/>
          <w:i/>
          <w:caps w:val="false"/>
          <w:smallCaps w:val="false"/>
          <w:sz w:val="20"/>
        </w:rPr>
        <w:t>gesetzlich gesch</w:t>
      </w:r>
      <w:r>
        <w:rPr>
          <w:rFonts w:ascii="Times New Roman" w:hAnsi="Times New Roman"/>
          <w:caps w:val="false"/>
          <w:smallCaps w:val="false"/>
          <w:sz w:val="20"/>
        </w:rPr>
        <w:t>ü</w:t>
      </w:r>
      <w:r>
        <w:rPr>
          <w:rFonts w:ascii="Times New Roman" w:hAnsi="Times New Roman"/>
          <w:i/>
          <w:caps w:val="false"/>
          <w:smallCaps w:val="false"/>
          <w:sz w:val="20"/>
        </w:rPr>
        <w:t>tzte Reserven</w:t>
      </w:r>
      <w:r>
        <w:rPr>
          <w:rFonts w:ascii="Times New Roman" w:hAnsi="Times New Roman"/>
          <w:caps w:val="false"/>
          <w:smallCaps w:val="false"/>
          <w:sz w:val="20"/>
        </w:rPr>
        <w:t>) or the payment of a (constructive) dividend (</w:t>
      </w:r>
      <w:r>
        <w:rPr>
          <w:rFonts w:ascii="Times New Roman" w:hAnsi="Times New Roman"/>
          <w:i/>
          <w:caps w:val="false"/>
          <w:smallCaps w:val="false"/>
          <w:sz w:val="20"/>
        </w:rPr>
        <w:t>Gewinnaussch</w:t>
      </w:r>
      <w:r>
        <w:rPr>
          <w:rFonts w:ascii="Times New Roman" w:hAnsi="Times New Roman"/>
          <w:caps w:val="false"/>
          <w:smallCaps w:val="false"/>
          <w:sz w:val="20"/>
        </w:rPr>
        <w:t>ü</w:t>
      </w:r>
      <w:r>
        <w:rPr>
          <w:rFonts w:ascii="Times New Roman" w:hAnsi="Times New Roman"/>
          <w:i/>
          <w:caps w:val="false"/>
          <w:smallCaps w:val="false"/>
          <w:sz w:val="20"/>
        </w:rPr>
        <w:t>ttung</w:t>
      </w:r>
      <w:r>
        <w:rPr>
          <w:rFonts w:ascii="Times New Roman" w:hAnsi="Times New Roman"/>
          <w:caps w:val="false"/>
          <w:smallCaps w:val="false"/>
          <w:sz w:val="20"/>
        </w:rPr>
        <w:t>) by such Swiss Guarantor under Swiss corporate law or would otherwise not be permitted by applicable law, the payment obligations under any such guaranty or indemnity or the application of any proceeds from the enforcement of any such guaranty or other obligation to be used to discharge the Upstream or Cross-Stream Obligations shall be limited to the maximum amount of such Swiss Guarantor’s freely disposable shareholder equity at the time of payment is requested or at the time of enforcement (the “</w:t>
      </w:r>
      <w:r>
        <w:rPr>
          <w:rFonts w:ascii="Times New Roman" w:hAnsi="Times New Roman"/>
          <w:caps w:val="false"/>
          <w:smallCaps w:val="false"/>
          <w:sz w:val="20"/>
          <w:u w:val="single"/>
        </w:rPr>
        <w:t>Maximum Amount</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limitation is required under the applicable law at that time,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such limitation shall not (generally or definitively) free the Swiss Guarantor from its obligations in excess of the Maximum Amount, but merely postpone the performance date of those obligations until such time or times as performance is again permitted under then applicable law. This Maximum Amount shall be determined in accordance with Swiss law and applicable Swiss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In respect of Upstream or Cross-Stream Obligations, the Swiss Guarantor shall as concerns the payment under any guarantee or indemnity or the application of any proceeds resulting from the enforcement of any security or other obligation assumed by such Swiss Guarantor under this Agreement or any other Loan Document and in case such Swiss Guarantor is obliged to pay Swiss Withholding Tax in relation thereto by applicable law (including tax treaties) in force at the relevant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use its commercially reasonable efforts to procure that such payment can be made or enforcement proceeds can be used to discharge Upstream or Cross-Stream Obligations without deduction of Swiss Withholding Tax by discharging the liability to Swiss Withholding Tax by notification pursuant to applicable law (including tax treaties) rather than payment of Swiss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if the notification procedure pursuant to sub-paragraph (i)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applies for a part of the Swiss Withholding Tax only, the Swiss Guarantor shall deduct Swiss Withholding Tax at the reduced rate, resulting after the discharge of part of such Swiss Withholding Tax by notification under applicable law, from any payment made by it in respect of Upstream or Cross-Stream Obligations and promptly pay any such deducted Swiss Withholding Taxes to the Swiss Federal Tax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(B)    is not available, the Swiss Guarantor shall deduct Swiss Withholding Tax at the rate of 35% (or such other rate as in force from time to time);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(C)    notify the Administrative Agent in writing that such notification or, as the case may be, deduction has been made, and provide the Administrative Agent with evidence that such a notification of the Swiss Federal Tax Administration has been made or such Swiss Withholding Tax deducted has been paid to the Swiss Federal Tax Administration,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in the case of a deduction of Swiss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use its reasonable efforts to ensure that it or any person, which is entitled to a full or partial refund of Swiss Withholding Tax deducted from such payment or enforcement proceeds, will, as soon as reasonably practicable after such deduction (i) request a refund of Swiss Withholding Tax under applicable law (including tax treaties); and (ii) pay to the Administrative Agent upon receipt any amount so refunded;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(B)    if a Secured Party is entitled to a full or partial refund of the Swiss Withholding Tax deducted from such payment, and if requested by such Secured Party, provide such Secured Party those documents that are required by law and applicable tax treaties to be provided by the payer of such tax in order to enable such Secured Party to prepare a claim for refund of Swiss Withholding Tax, and the Administrative Agent shall reasonably co-operate with the Swiss Guarantor to secure such refund.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To the extent the Swiss Guarantor is required to deduct Swiss Withholding Tax pursuant to paragraph (b) above, and if the Maximum Amount pursuant to paragraph (a) above is not fully utilized, such Swiss Guarantor shall be required to pay an additional amount, so that, after making any deduction of Swiss Withholding Tax, the aggregate net amount paid to the Administrative Agent is equal to the amount which would have been paid if no deduction of Swiss Withholding Tax had been required, provided that the aggregate amount paid (including the additional amount) shall in any event be limited to the Maximum Amount pursuant to paragraph (a) above. If a refund of any amounts of Swiss Withholding Tax paid by the Swiss Guarantor is made (i) to the Administrative Agent, then the Administrative Agent shall apply such refund as a payment of the Obligations until paid in full in cash, and thereafter, to the Swiss Guarantor, (ii) to another Secured Party, then such Secured Party shall transfer such refund amount to the Administrative Agent for payment of the Obligations until paid in full in cash, and thereafter, to the Swiss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The Swiss Guarantor shall promptly take and cause to be taken any action, including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passing of any shareholders’ resolutions to approve the payment or use of the enforcement proceeds, which may be required as a matter of Swiss mandatory law in force at the time payment is requested or at the time of enforcement in order to allow a prompt payment or use of the enforcement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preparation of up-to-date audited balance sheet of such Swiss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confirmation of the auditors of such Swiss Guarantor that the relevant amount represents the Maximum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conversion of restricted reserves into profits and reserves freely available for the distribution as dividends and/or capital reductions (in each case, to the extent permitted by mandatory Swiss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revaluation of hidden reserves (to the extent permitted by mandatory Swiss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reduction of its share capital to the minimum allowed under then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    to the extent permitted by applicable law and Swiss accounting standards, write-up or realise any of its assets that are shown in its balance sheet with a book value that is significantly lower than the market value of the assets, in case of realisation, however, only if such assets are not necessary for such Swiss Guarantor’s business (</w:t>
      </w:r>
      <w:r>
        <w:rPr>
          <w:rFonts w:ascii="Times New Roman" w:hAnsi="Times New Roman"/>
          <w:i/>
          <w:caps w:val="false"/>
          <w:smallCaps w:val="false"/>
          <w:sz w:val="20"/>
        </w:rPr>
        <w:t>nicht betriebsnotwendig</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(viii)    all such other measures necessary to allow the Swiss Guarantor to make payments or use enforcement proceeds as agreed under paragraph (a) with a minimum of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XII</w:t>
      </w:r>
      <w:r>
        <w:rPr>
          <w:rFonts w:ascii="Times New Roman" w:hAnsi="Times New Roman"/>
          <w:caps w:val="false"/>
          <w:smallCaps w:val="false"/>
          <w:sz w:val="20"/>
        </w:rPr>
        <w:br/>
        <w:br/>
      </w:r>
      <w:r>
        <w:rPr>
          <w:rFonts w:ascii="Times New Roman" w:hAnsi="Times New Roman"/>
          <w:b/>
          <w:caps w:val="false"/>
          <w:smallCaps w:val="false"/>
          <w:sz w:val="20"/>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12.01    </w:t>
      </w:r>
      <w:r>
        <w:rPr>
          <w:rFonts w:ascii="Times New Roman" w:hAnsi="Times New Roman"/>
          <w:caps w:val="false"/>
          <w:smallCaps w:val="false"/>
          <w:sz w:val="20"/>
          <w:u w:val="single"/>
        </w:rPr>
        <w:t>Notices, Etc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Notices Generally</w:t>
      </w:r>
      <w:r>
        <w:rPr>
          <w:rFonts w:ascii="Times New Roman" w:hAnsi="Times New Roman"/>
          <w:caps w:val="false"/>
          <w:smallCaps w:val="false"/>
          <w:sz w:val="20"/>
        </w:rPr>
        <w:t>. All notices and other communications provided for hereunder shall be in writing and shall be delivered by hand, sent by registered or certified mail (postage prepaid, return receipt requested), overnight courier, or telecopier. In the case of notices or other communications to any Loan Party, Administrative Agent, the Collateral Agent or the Servicing Agent, as the case may be, they shall be sent to the respective address set forth below (or, as to each party, at such other address as shall be designated by such party in a written notice to the other parties complying as to delivery with the terms of this Section 12.01):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0" w:right="0" w:hanging="1440"/>
        <w:jc w:val="both"/>
        <w:rPr>
          <w:rFonts w:ascii="Times New Roman" w:hAnsi="Times New Roman"/>
          <w:caps w:val="false"/>
          <w:smallCaps w:val="false"/>
          <w:sz w:val="20"/>
        </w:rPr>
      </w:pPr>
      <w:r>
        <w:rPr>
          <w:rFonts w:ascii="Times New Roman" w:hAnsi="Times New Roman"/>
          <w:caps w:val="false"/>
          <w:smallCaps w:val="false"/>
          <w:sz w:val="20"/>
        </w:rPr>
        <w:t>Accuray Incorporated</w:t>
      </w:r>
    </w:p>
    <w:p>
      <w:pPr>
        <w:pStyle w:val="TextBody"/>
        <w:bidi w:val="0"/>
        <w:spacing w:before="0" w:after="0"/>
        <w:ind w:left="3600" w:right="0" w:hanging="1440"/>
        <w:jc w:val="both"/>
        <w:rPr>
          <w:rFonts w:ascii="Times New Roman" w:hAnsi="Times New Roman"/>
          <w:caps w:val="false"/>
          <w:smallCaps w:val="false"/>
          <w:sz w:val="20"/>
        </w:rPr>
      </w:pPr>
      <w:r>
        <w:rPr>
          <w:rFonts w:ascii="Times New Roman" w:hAnsi="Times New Roman"/>
          <w:caps w:val="false"/>
          <w:smallCaps w:val="false"/>
          <w:sz w:val="20"/>
        </w:rPr>
        <w:t>1240 Deming Way</w:t>
      </w:r>
    </w:p>
    <w:p>
      <w:pPr>
        <w:pStyle w:val="TextBody"/>
        <w:bidi w:val="0"/>
        <w:spacing w:before="0" w:after="0"/>
        <w:ind w:left="3600" w:right="0" w:hanging="1440"/>
        <w:jc w:val="both"/>
        <w:rPr>
          <w:rFonts w:ascii="Times New Roman" w:hAnsi="Times New Roman"/>
          <w:caps w:val="false"/>
          <w:smallCaps w:val="false"/>
          <w:sz w:val="20"/>
        </w:rPr>
      </w:pPr>
      <w:r>
        <w:rPr>
          <w:rFonts w:ascii="Times New Roman" w:hAnsi="Times New Roman"/>
          <w:caps w:val="false"/>
          <w:smallCaps w:val="false"/>
          <w:sz w:val="20"/>
        </w:rPr>
        <w:t>Madison, WI 53717</w:t>
      </w:r>
    </w:p>
    <w:p>
      <w:pPr>
        <w:pStyle w:val="TextBody"/>
        <w:bidi w:val="0"/>
        <w:spacing w:before="0" w:after="0"/>
        <w:ind w:left="3600" w:right="0" w:hanging="1440"/>
        <w:jc w:val="both"/>
        <w:rPr>
          <w:rFonts w:ascii="Times New Roman" w:hAnsi="Times New Roman"/>
          <w:caps w:val="false"/>
          <w:smallCaps w:val="false"/>
          <w:sz w:val="20"/>
        </w:rPr>
      </w:pPr>
      <w:r>
        <w:rPr>
          <w:rFonts w:ascii="Times New Roman" w:hAnsi="Times New Roman"/>
          <w:caps w:val="false"/>
          <w:smallCaps w:val="false"/>
          <w:sz w:val="20"/>
        </w:rPr>
        <w:t>Attention: Chief Financial Officer</w:t>
      </w:r>
    </w:p>
    <w:p>
      <w:pPr>
        <w:pStyle w:val="TextBody"/>
        <w:bidi w:val="0"/>
        <w:spacing w:before="0" w:after="0"/>
        <w:ind w:left="3600" w:right="0" w:hanging="1440"/>
        <w:jc w:val="both"/>
        <w:rPr>
          <w:rFonts w:ascii="Times New Roman" w:hAnsi="Times New Roman"/>
          <w:caps w:val="false"/>
          <w:smallCaps w:val="false"/>
          <w:sz w:val="20"/>
        </w:rPr>
      </w:pPr>
      <w:r>
        <w:rPr>
          <w:rFonts w:ascii="Times New Roman" w:hAnsi="Times New Roman"/>
          <w:caps w:val="false"/>
          <w:smallCaps w:val="false"/>
          <w:sz w:val="20"/>
        </w:rPr>
        <w:t>Telephone No: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0" w:right="0" w:hanging="1440"/>
        <w:jc w:val="both"/>
        <w:rPr>
          <w:rFonts w:ascii="Times New Roman" w:hAnsi="Times New Roman"/>
          <w:caps w:val="false"/>
          <w:smallCaps w:val="false"/>
          <w:sz w:val="20"/>
        </w:rPr>
      </w:pPr>
      <w:r>
        <w:rPr>
          <w:rFonts w:ascii="Times New Roman" w:hAnsi="Times New Roman"/>
          <w:caps w:val="false"/>
          <w:smallCaps w:val="false"/>
          <w:sz w:val="20"/>
        </w:rPr>
        <w:t>With a copy, which shall not constitute notice,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0" w:right="0" w:hanging="1440"/>
        <w:jc w:val="both"/>
        <w:rPr>
          <w:rFonts w:ascii="Times New Roman" w:hAnsi="Times New Roman"/>
          <w:caps w:val="false"/>
          <w:smallCaps w:val="false"/>
          <w:sz w:val="20"/>
        </w:rPr>
      </w:pPr>
      <w:r>
        <w:rPr>
          <w:rFonts w:ascii="Times New Roman" w:hAnsi="Times New Roman"/>
          <w:caps w:val="false"/>
          <w:smallCaps w:val="false"/>
          <w:sz w:val="20"/>
        </w:rPr>
        <w:t>Accuray Incorporated</w:t>
      </w:r>
    </w:p>
    <w:p>
      <w:pPr>
        <w:pStyle w:val="TextBody"/>
        <w:bidi w:val="0"/>
        <w:spacing w:before="0" w:after="0"/>
        <w:ind w:left="3600" w:right="0" w:hanging="1440"/>
        <w:jc w:val="both"/>
        <w:rPr>
          <w:rFonts w:ascii="Times New Roman" w:hAnsi="Times New Roman"/>
          <w:caps w:val="false"/>
          <w:smallCaps w:val="false"/>
          <w:sz w:val="20"/>
        </w:rPr>
      </w:pPr>
      <w:r>
        <w:rPr>
          <w:rFonts w:ascii="Times New Roman" w:hAnsi="Times New Roman"/>
          <w:caps w:val="false"/>
          <w:smallCaps w:val="false"/>
          <w:sz w:val="20"/>
        </w:rPr>
        <w:t>1240 Deming Way</w:t>
      </w:r>
    </w:p>
    <w:p>
      <w:pPr>
        <w:pStyle w:val="TextBody"/>
        <w:bidi w:val="0"/>
        <w:spacing w:before="0" w:after="0"/>
        <w:ind w:left="3600" w:right="0" w:hanging="1440"/>
        <w:jc w:val="both"/>
        <w:rPr>
          <w:rFonts w:ascii="Times New Roman" w:hAnsi="Times New Roman"/>
          <w:caps w:val="false"/>
          <w:smallCaps w:val="false"/>
          <w:sz w:val="20"/>
        </w:rPr>
      </w:pPr>
      <w:r>
        <w:rPr>
          <w:rFonts w:ascii="Times New Roman" w:hAnsi="Times New Roman"/>
          <w:caps w:val="false"/>
          <w:smallCaps w:val="false"/>
          <w:sz w:val="20"/>
        </w:rPr>
        <w:t>Madison, WI 53717</w:t>
      </w:r>
    </w:p>
    <w:p>
      <w:pPr>
        <w:pStyle w:val="TextBody"/>
        <w:bidi w:val="0"/>
        <w:spacing w:before="0" w:after="0"/>
        <w:ind w:left="3600" w:right="0" w:hanging="1440"/>
        <w:jc w:val="both"/>
        <w:rPr>
          <w:rFonts w:ascii="Times New Roman" w:hAnsi="Times New Roman"/>
          <w:caps w:val="false"/>
          <w:smallCaps w:val="false"/>
          <w:sz w:val="20"/>
        </w:rPr>
      </w:pPr>
      <w:r>
        <w:rPr>
          <w:rFonts w:ascii="Times New Roman" w:hAnsi="Times New Roman"/>
          <w:caps w:val="false"/>
          <w:smallCaps w:val="false"/>
          <w:sz w:val="20"/>
        </w:rPr>
        <w:t>Attention: Chief Legal Officer</w:t>
      </w:r>
    </w:p>
    <w:p>
      <w:pPr>
        <w:pStyle w:val="TextBody"/>
        <w:bidi w:val="0"/>
        <w:spacing w:before="0" w:after="0"/>
        <w:ind w:left="3600" w:right="0" w:hanging="1440"/>
        <w:jc w:val="both"/>
        <w:rPr>
          <w:rFonts w:ascii="Times New Roman" w:hAnsi="Times New Roman"/>
          <w:caps w:val="false"/>
          <w:smallCaps w:val="false"/>
          <w:sz w:val="20"/>
        </w:rPr>
      </w:pPr>
      <w:r>
        <w:rPr>
          <w:rFonts w:ascii="Times New Roman" w:hAnsi="Times New Roman"/>
          <w:caps w:val="false"/>
          <w:smallCaps w:val="false"/>
          <w:sz w:val="20"/>
        </w:rPr>
        <w:t>Telephone No.: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E-Mail: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4320" w:right="0" w:hanging="2160"/>
        <w:jc w:val="both"/>
        <w:rPr>
          <w:rFonts w:ascii="Times New Roman" w:hAnsi="Times New Roman"/>
          <w:caps w:val="false"/>
          <w:smallCaps w:val="false"/>
          <w:sz w:val="20"/>
        </w:rPr>
      </w:pPr>
      <w:r>
        <w:rPr>
          <w:rFonts w:ascii="Times New Roman" w:hAnsi="Times New Roman"/>
          <w:caps w:val="false"/>
          <w:smallCaps w:val="false"/>
          <w:sz w:val="20"/>
        </w:rPr>
        <w:t>with a copy to (which shall not constitute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Wilson Sonsini Goodrich &amp; Rosati</w:t>
        <w:br/>
        <w:t>650 Page Mill Road</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Palo Alto, CA 94304</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Attention:         Erik Franks         </w:t>
        <w:br/>
        <w:t>Telephone: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2160"/>
        <w:jc w:val="both"/>
        <w:rPr>
          <w:rFonts w:ascii="Times New Roman" w:hAnsi="Times New Roman"/>
          <w:caps w:val="false"/>
          <w:smallCaps w:val="false"/>
          <w:sz w:val="20"/>
        </w:rPr>
      </w:pPr>
      <w:r>
        <w:rPr>
          <w:rFonts w:ascii="Times New Roman" w:hAnsi="Times New Roman"/>
          <w:caps w:val="false"/>
          <w:smallCaps w:val="false"/>
          <w:sz w:val="20"/>
        </w:rPr>
        <w:t>if to any Agent (other than the Servicing Agent), to it at the following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TCW Asset Management Company LLC</w:t>
        <w:br/>
        <w:t>1251 Avenue of the Americas, Suite 4700</w:t>
        <w:br/>
        <w:t>New York, New York 10020</w:t>
        <w:br/>
        <w:t>Attention:         Ryan Carroll</w:t>
        <w:br/>
        <w:t>Telephone:         [***]</w:t>
        <w:b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2160"/>
        <w:jc w:val="both"/>
        <w:rPr>
          <w:rFonts w:ascii="Times New Roman" w:hAnsi="Times New Roman"/>
          <w:caps w:val="false"/>
          <w:smallCaps w:val="false"/>
          <w:sz w:val="20"/>
        </w:rPr>
      </w:pPr>
      <w:r>
        <w:rPr>
          <w:rFonts w:ascii="Times New Roman" w:hAnsi="Times New Roman"/>
          <w:caps w:val="false"/>
          <w:smallCaps w:val="false"/>
          <w:sz w:val="20"/>
        </w:rPr>
        <w:t>with a copy to (which shall not constitute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Paul Hastings LLP</w:t>
        <w:br/>
        <w:t>1999 Avenue of the Stars, 26th Floor</w:t>
        <w:br/>
        <w:t>Century City, CA 90067</w:t>
        <w:br/>
        <w:t>Attention:         Justin Rawlins</w:t>
        <w:br/>
        <w:t>Telephone:         [***]</w:t>
        <w:b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if to the Servicing Agent, to it at the</w:t>
        <w:br/>
        <w:t>following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Wingspire Capital LLC</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11720 Amber Park Drive, Suite 500</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Alpharetta, Georgia 30009</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Attention: Michael Westermann</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Telephone: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2160"/>
        <w:jc w:val="both"/>
        <w:rPr>
          <w:rFonts w:ascii="Times New Roman" w:hAnsi="Times New Roman"/>
          <w:caps w:val="false"/>
          <w:smallCaps w:val="false"/>
          <w:sz w:val="20"/>
        </w:rPr>
      </w:pPr>
      <w:r>
        <w:rPr>
          <w:rFonts w:ascii="Times New Roman" w:hAnsi="Times New Roman"/>
          <w:caps w:val="false"/>
          <w:smallCaps w:val="false"/>
          <w:sz w:val="20"/>
        </w:rPr>
        <w:t>with a copy to (which shall not constitute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Blank Rome LLP</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717 Texas Avenue, Suite 1400</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Houston, Texas 77002</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Attention: Cassandra Mott</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Telephone: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All notices or other communications sent in accordance with this Section 12.01, shall be deemed received on the earlier of the date of actual receipt or 3 Business Days after the deposit thereof in the mail;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notices sent by overnight courier service shall be deemed to have been given when received and (ii) notices by facsimile shall be deemed to have been given when sent (except that, if not given during normal business hours for the recipient, shall be deemed to have been given at the opening of business on the next Business Day for the recipient),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notices to any Agent pursuant to Article II shall not be effective until received by such Agent,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Electronic Communications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Each Agent and the Administrative Borrower may, in its discretion, agree to accept notices and other communications to it hereunder by electronic communications pursuant to procedures approved by 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approval of such procedures may be limited to particular notices or communications. Notices and other communications to the Lenders hereunder may be delivered or furnished by electronic communication (including e mail and Internet or intranet websites) pursuant to procedures approved by the Agents,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foregoing shall not apply to notices to any Lender or pursuant to Article II if such Lender has notified the Agents that it is incapable of receiving notices under such Article by electronic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Unless the Administrative Agent otherwise prescribes,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notices and other communications sent to an e-mail address shall be deemed received upon the sender’s receipt of an acknowledgement from the intended recipient (such as by the “return receipt requested” function, as available, return e-mail or other written acknowledgement),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both clauses (A) and (B)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12.02    </w:t>
      </w:r>
      <w:r>
        <w:rPr>
          <w:rFonts w:ascii="Times New Roman" w:hAnsi="Times New Roman"/>
          <w:caps w:val="false"/>
          <w:smallCaps w:val="false"/>
          <w:sz w:val="20"/>
          <w:u w:val="single"/>
        </w:rPr>
        <w:t>Amendments, Etc.</w:t>
      </w:r>
      <w:r>
        <w:rPr>
          <w:rFonts w:ascii="Times New Roman" w:hAnsi="Times New Roman"/>
          <w:caps w:val="false"/>
          <w:smallCaps w:val="false"/>
          <w:sz w:val="20"/>
        </w:rPr>
        <w:t xml:space="preserve"> No amendment or waiver of any provision of this Agreement or any other Loan Document (excluding the Fee Letters), and no consent to any departure by any Loan Party therefrom, shall in any event be effective unless the same shall be in writing and signed (x) in the case of an amendment, consent or waiver to cure any ambiguity, omission, defect or inconsistency or granting a new Lien for the benefit of the Agents and the Lenders or extending an existing Lien over additional property, by the Collateral Agent and the Borrowers (or by the Administrative Borrower on behalf of the Borrowers), (y) in the case of any other waiver or consent, by the Required Lenders (or by the Collateral Agent with the consent of the Required Lenders) (with a copy thereof to the Administrative Agent and the Servicing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failure to deliver such a copy shall have no bearing on the effectiveness of such amendment, consent or waiver) and (z) in the case of any other amendment, by the Required Lenders (or by the Collateral Agent with the consent of the Required Lenders) and the Borrowers (or by the Administrative Borrower on behalf of the Borrowers) (with a copy thereof to the Administrative Agent and the Servicing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failure to deliver such a copy shall have no bearing on the effectiveness of such amendment), and then such waiver or consent shall be effective only in the specific instance and for the specific purpose for which given;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 amendment, waiver or consent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increase the Commitment of any Lender (or reinstate any Commitment reduced or terminated hereunder) (it being understood that no amendment, modification or waiver of, or consent to departure from, any condition precedent, representation, warranty, covenant, Default, Event of Default, mandatory prepayment or mandatory reduction of the Commitments shall constitute an increase of any Commitment of such Lender), reduce the principal of, or interest on, the Loans payable to any Lender, reduce the amount of any fee payable for the account of any Lender (other than any imposition or rescission of default interest (which may be affected by consent of the Required Lenders)), or postpone or extend any scheduled date fixed for any payment of principal (which shall in no event include any mandatory prepayment) of, or interest or fees on, the Loans payable to any Lender, in each case, without the written consent of such Lender, in each case, other than as a result of the waiver of (A) default interest under Section 2.04(c) or (B) a mandatory prepayment under Section 2.05(c);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amend the definition of “Required Lenders” or otherwise reduce the percentage of the Commitments or of the aggregate unpaid principal amount of the Loans that is required for the Lenders or any of them to take any action hereunder without the written consent of each directly and adversely affected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amend the definition of “Pro Rata Share” without the written consent of each directly and adversely affected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release all or substantially all of the Collateral (except as otherwise provided in this Agreement and the other Loan Documents) without the written consent of each directly and adversely affected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amend, modify or waive Section 2.05(d), Section 4.02, Section 4.03, any other provision in any Loan Document providing for the ratable sharing of payments made under any Loan Document, this Section 12.02 or Section 12.07(c)(iii) of this Agreement without the written consent of each directly and adversely affected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amend the definition of “Account Debtor,” “Accounts”, “Availability”, “Borrowing Base”, “Borrowing Base Certificate”, “Borrowing Base Parties,” “Borrowing Base Reset Date,” “Inventory”, “Net Forced Liquidation Value,” “NOLV,” “Non-U.S. Borrowing Base,” “Non-U.S. Eligible Accounts,” “Non-U.S. Eligible Inventory,” “Permitted Discretion”, “Reserves,” “U.S. Borrowing Base,” “U.S. Eligible Accounts,” “U.S. Eligible Intellectual Property,” “U.S. Eligible Inventory,” or any component of any of the following or any other definition used in determining the amount of credit available under the revolving credit facility hereunder, or Section 5.03 (with respect to the Revolving Loans), Section 2.01, Section 6.01(aa), Section 7.01(a)(vi), (xii), or (xiv), Section 7.01(z), (aa), (bb) or (cc), or Exhibit G, in each case, without the written consent of the Required Revolving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    amend the definition of “Required Revolving Lenders” without the written consent of each Revolving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(viii)    amend the definition of “Required Delayed Draw Lenders” without the written consent of each Delayed Draw Term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(ix)     release all or substantially all of the value of the Guarantees in any transaction or series of related transactions (except as otherwise provided in this Agreement and the other Loan Documents) without the written consent of each directly and adversely affected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    convert (i) any Term Loans to Revolving Loans or (ii) any Revolving Loans to Term Loans, in each case, without the written consent of each directly and adversely affected Lender;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    increase the maximum Applicable PIK Amount above 6.00% per annum, without the written consent of each directly and adversely affected Term Loan B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Notwithstanding anything to the contrary in Section 12.02(a):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no amendment, waiver or consent shall, unless in writing and signed by an Agent, adversely affect the rights or duties of such Agent (but not in its capacity as a Lender) under this Agreement or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the Administrative Agent and the Administrative Borrower may enter into an amendment to this Agreement pursuant to Section 2.07(h) to reflect an alternate service or index rate and such other related changes to this Agreement as may be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[reserved];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(v)    no Defaulting Lender, Loan Party, shareholder or other equity holder of the Administrative Borrower or any of their respective Affiliates (other than TCW), in each case, that is a Lender shall have any right to approve or disapprove any amendment, waiver or consent under the Loan Documents and any Loans held by such Person for purposes hereof shall be disregarded for the purposes of voting on any such amendment, waiver or consent; </w:t>
      </w:r>
      <w:r>
        <w:rPr>
          <w:rFonts w:ascii="Times New Roman" w:hAnsi="Times New Roman"/>
          <w:caps w:val="false"/>
          <w:smallCaps w:val="false"/>
          <w:sz w:val="20"/>
          <w:u w:val="single"/>
        </w:rPr>
        <w:t>provided</w:t>
      </w:r>
      <w:r>
        <w:rPr>
          <w:rFonts w:ascii="Times New Roman" w:hAnsi="Times New Roman"/>
          <w:caps w:val="false"/>
          <w:smallCaps w:val="false"/>
          <w:sz w:val="20"/>
        </w:rPr>
        <w:t>, for the avoidance of doubt, the foregoing shall not apply to (and shall not override) the rights of a participant granted pursuant to Section 12.07(k)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If (i) any action to be taken by the Lenders hereunder requires the consent, authorization, or agreement of all of the Lenders or any Lender affected thereby, and a Lender other than the Collateral Agent and the Administrative Agent and their respective Affiliates and Related Funds (the “</w:t>
      </w:r>
      <w:r>
        <w:rPr>
          <w:rFonts w:ascii="Times New Roman" w:hAnsi="Times New Roman"/>
          <w:caps w:val="false"/>
          <w:smallCaps w:val="false"/>
          <w:sz w:val="20"/>
          <w:u w:val="single"/>
        </w:rPr>
        <w:t>Holdout Lender</w:t>
      </w:r>
      <w:r>
        <w:rPr>
          <w:rFonts w:ascii="Times New Roman" w:hAnsi="Times New Roman"/>
          <w:caps w:val="false"/>
          <w:smallCaps w:val="false"/>
          <w:sz w:val="20"/>
        </w:rPr>
        <w:t>”) fails to give its consent, authorization, or agreement or (ii) any Lender is a Defaulting Lender, then the Collateral Agent or the Administrative Borrower, upon at least 5 Business Days prior notice to the Holdout Lender or Defaulting Lender, as applicable, may permanently replace the Holdout Lender or Defaulting Lender, as applicable, with one or more substitute lenders (each, a “</w:t>
      </w:r>
      <w:r>
        <w:rPr>
          <w:rFonts w:ascii="Times New Roman" w:hAnsi="Times New Roman"/>
          <w:caps w:val="false"/>
          <w:smallCaps w:val="false"/>
          <w:sz w:val="20"/>
          <w:u w:val="single"/>
        </w:rPr>
        <w:t>Replacement Lender</w:t>
      </w:r>
      <w:r>
        <w:rPr>
          <w:rFonts w:ascii="Times New Roman" w:hAnsi="Times New Roman"/>
          <w:caps w:val="false"/>
          <w:smallCaps w:val="false"/>
          <w:sz w:val="20"/>
        </w:rPr>
        <w:t>”), and the Holdout Lender or Defaulting Lender, as applicable, shall have no right to refuse to be replaced hereunder unless the circumstances entitling the Borrower or the Collateral Agent, as applicable, to require such replacement cease to apply within such 5 Business Day notice period. Such notice to replace the Holdout Lender or Defaulting Lender, as applicable, shall specify an effective date for such replacement, which date shall not be later than 15 Business Days after the date such notice is given. Prior to the effective date of such replacement, the Holdout Lender or Defaulting Lender, as applicable, and each Replacement Lender shall execute and deliver an Assignment and Acceptance, subject only to the Holdout Lender being repaid its share of the outstanding Obligations (including, for the avoidance of doubt, accrued fees but excluding any Applicable Premium or Supplemental Premium) and (y) such assignment not conflicting with Requirements of Law applicable to such Holdout Lender or Defaulting Lender, as applicable. If the Holdout Lender shall refuse or fail to execute and deliver any such Assignment and Acceptance prior to the effective date of such replacement, the Holdout Lender or Defaulting Lender, as applicable, shall be deemed to have executed and delivered such Assignment and Acceptance. In the case of any replacement resulting from a claim for compensation under Section 2.10 or payments required to be made pursuant to Section 2.09, such assignment will result in a reduction in such compensation or payments thereunder. The replacement of any Holdout Lender or Defaulting Lender, as applicable, shall be made in accordance with the terms of Section 12.07. Until such time as the Replacement Lenders shall have acquired all of the Obligations, the Commitments, and the other rights and obligations of the Holdout Lender or Defaulting Lender, as applicable, hereunder and under the other Loan Documents, the Holdout Lender shall remain obligated to make its Pro Rata Share of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12.03    </w:t>
      </w:r>
      <w:r>
        <w:rPr>
          <w:rFonts w:ascii="Times New Roman" w:hAnsi="Times New Roman"/>
          <w:caps w:val="false"/>
          <w:smallCaps w:val="false"/>
          <w:sz w:val="20"/>
          <w:u w:val="single"/>
        </w:rPr>
        <w:t>No Waiver; Remedies, Etc.</w:t>
      </w:r>
      <w:r>
        <w:rPr>
          <w:rFonts w:ascii="Times New Roman" w:hAnsi="Times New Roman"/>
          <w:caps w:val="false"/>
          <w:smallCaps w:val="false"/>
          <w:sz w:val="20"/>
        </w:rPr>
        <w:t xml:space="preserve"> No failure on the part of any Agent or any Lender to exercise, and no delay in exercising, any right hereunder or under any other Loan Document shall operate as a waiver thereof; nor shall any single or partial exercise of any right under any Loan Document preclude any other or further exercise thereof or the exercise of any other right. The rights and remedies of the Agents and the Lenders provided herein and in the other Loan Documents are cumulative and are in addition to, and not exclusive of, any rights or remedies provided by law. The rights of the Agents and the Lenders under any Loan Document against any party thereto are not conditional or contingent on any attempt by the Agents and the Lenders to exercise any of their rights under any other Loan Document against such party or against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12.04    </w:t>
      </w:r>
      <w:r>
        <w:rPr>
          <w:rFonts w:ascii="Times New Roman" w:hAnsi="Times New Roman"/>
          <w:caps w:val="false"/>
          <w:smallCaps w:val="false"/>
          <w:sz w:val="20"/>
          <w:u w:val="single"/>
        </w:rPr>
        <w:t>Expenses; Taxes; Attorneys’ Fees</w:t>
      </w:r>
      <w:r>
        <w:rPr>
          <w:rFonts w:ascii="Times New Roman" w:hAnsi="Times New Roman"/>
          <w:caps w:val="false"/>
          <w:smallCaps w:val="false"/>
          <w:sz w:val="20"/>
        </w:rPr>
        <w:t xml:space="preserve">. The Borrowers will pay promptly on written demand, all reasonable and documented out-of-pocket costs and expenses incurred by or on behalf of each Agent (and, in the case of clauses (b) through (m) below, each Lender), regardless of whether the transactions contemplated hereby are consummated, including, without limitation, reasonable fees, costs, client charges and expenses of outside counsel for each Agent (and, in the case of clauses (b) through (m) below, each Lender) (but limited to the reasonable and documented out-of-pocket fees, costs, client charges and expenses of (i) one firm of lead counsel (and, in the case of an actual or potential conflict of interest, one additional lead counsel for each affected party similarly situated) for the Administrative Agent, the Collateral Agent and the Term Loan Lenders, and one separate firm of lead counsel for the Servicing Agent and the Revolving Loan Lenders, and (iii) one local counsel in each relevant jurisdiction and one regulatory counsel in each regulatory area of law for each of (x) the Administrative Agent, the Collateral Agent and the Term Loan Lenders, and (y) separate counsel for the Servicing Agent and the Revolving Loan Lenders), for accounting, periodic inspections, field examination, appraisals, and valuations (to the extent reimbursable under the terms of Section 7.01(f), Section 7.01(z) or Section 7.01(cc)), investigations, searches and filings and reviewing environmental assessments, miscellaneous disbursements, travel, lodging and meals, in each case, arising from or relating to: (a) the negotiation, preparation, execution, delivery, performance and administration of this Agreement and the other Loan Documents (including, without limitation, the preparation of any additional Loan Documents pursuant to Section 7.01(b) or the review of any of the agreements, instruments and documents referred to in Section 7.01(f) or Section 7.01(z) through (cc)), (b) any requested amendments, waivers or consents to this Agreement or the other Loan Documents whether or not such documents become effective or are given, (c) the preservation and protection of the Agents’ or any of the Lenders’ rights under this Agreement or the other Loan Documents, (d) the defense of any claim or action asserted or brought against any Agent or any Lender by any Person that arises from or relates to this Agreement, any other Loan Document, the Agents’ or the Lenders’ claims against any Loan Party, or any and all matters in connection therewith (including any threatened or actual imposition of fines or penalties, or disgorgement of benefits, for violation of any Sanctions, any Trade Control Laws, any Anti-Corruption Laws or any Anti-Money Laundering Laws by any Loan Party or any Affiliate or Subsidiary of any Loan Party), other than claims or actions among the Agents and the Lenders (other than (i) claims or actions against any Person in its capacity or in fulfilling its role as the Administrative Agent or the Collateral Agent or a similar role under the Loan Documents and (ii) claims or actions arising out of any act or omission of any Loan Party or any of its Affiliates), (e) the commencement or defense of, or intervention in, any court proceeding arising from or related to this Agreement or any other Loan Document, other than in connection with claims or actions among the Agents and the Lenders (other than (i) claims or actions against any Person in its capacity or in fulfilling its role as the Administrative Agent or the Collateral Agent or a similar role under the Loan Documents and (ii) claims or actions arising out of any act or omission of any Loan Party or any of its Affiliates) and claims or actions determined by a final and non-appealable judgment of a court of competent jurisdiction to have resulted from the gross negligence or willful misconduct of the Agents and Lenders, (f) the filing of any petition, complaint, answer, motion or other pleading by any Agent or any Lender, or the taking of any action in respect of the Collateral or other security, in connection with this Agreement or any other Loan Document, (g) the protection, collection, lease, sale, taking possession of or liquidation of, any Collateral or other security in connection with this Agreement or any other Loan Document, (h) any attempt to enforce any Lien or security interest in any Collateral or other security in connection with this Agreement or any other Loan Document in accordance with the terms of the Loan Documents, (i) any attempt to collect from any Loan Party in accordance with the terms of the Loan Documents, (j) any Environmental Claim against, or Environmental Liability of, any Loan Party or any of its Subsidiaries (including for any Remedial Action arising from or in connection with the past, present or future operations of, or with respect to any property currently, formerly or in the future owned, leased or operated by, any Loan Party, any of its Subsidiaries or any predecessor in interest), (k) any Environmental Lien filed against the Collateral, (l) any field examination, appraisal, or valuation pursuant to Section 7.01(f), Section 7.01(z) and Section 7.01(cc), or (m) the receipt by any Agent or any Lender of any advice from professionals with respect to any of the foregoing;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with respect to clause (m), so long as no Event of Default has occurred and is continuing, such expenses solely with respect to consultants (but, for the avoidance of doubt, not legal counsel) will require the consent of the Administrative Borrower (such consent not to be unreasonably withheld, delayed or conditioned);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the Administrative Borrower will be deemed to have consented if the Administrative Borrower has not responded within 10 Business Days of receipt of written request. Without limitation of the foregoing or any other provision of any Loan Document, if the Borrowers fail to perform any covenant or agreement contained herein or in any other Loan Document, upon 5 days prior written notice, any Agent may itself perform or cause performance of such covenant or agreement, and the expenses of such Agent incurred in connection therewith shall be reimbursed on demand by the Borrowers. The obligations of the Borrowers under this Section 12.04 shall survive the repayment of the Obligations and discharge of any Liens granted under the Loan Documents. This Section 12.04 shall not apply with respect to Taxes other than any Taxes that represent losses, claims, damages, etc. arising from any non-Tax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12.05    </w:t>
      </w:r>
      <w:r>
        <w:rPr>
          <w:rFonts w:ascii="Times New Roman" w:hAnsi="Times New Roman"/>
          <w:caps w:val="false"/>
          <w:smallCaps w:val="false"/>
          <w:sz w:val="20"/>
          <w:u w:val="single"/>
        </w:rPr>
        <w:t>Right of Set-off</w:t>
      </w:r>
      <w:r>
        <w:rPr>
          <w:rFonts w:ascii="Times New Roman" w:hAnsi="Times New Roman"/>
          <w:caps w:val="false"/>
          <w:smallCaps w:val="false"/>
          <w:sz w:val="20"/>
        </w:rPr>
        <w:t xml:space="preserve">. Upon the occurrence and during the continuance of any Event of Default, any Agent or any Lender may, and is hereby authorized to, at any time and from time to time, without notice to any Loan Party (any such notice being expressly waived by the Loan Parties) and to the fullest extent permitted by law, set off and apply any and all deposits (general or special, time or demand, provisional or final) (other than payroll accounts, tax accounts, ERISA accounts and other Excluded Accounts) at any time held and other Indebtedness at any time owing by such Agent or such Lender or any of their respective Affiliates to or for the credit or the account of any Loan Party against any and all obligations of the Loan Parties either now or hereafter existing under any Loan Document, irrespective of whether or not such Agent or such Lender shall have made any demand hereunder or thereunder and although such obligations may be contingent or unmatured;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event that any Defaulting Lender shall exercise any such right of set-off, (a) all amounts so set off shall be paid over immediately to the Administrative Agent for further application in accordance with the provisions of Section 4.04 and, pending such payment, shall be segregated by such Defaulting Lender from its other funds and deemed held in trust for the benefit of the Agents and the Lenders, and (b) the Defaulting Lender shall provide promptly to the Administrative Agent a statement describing in reasonable detail the Obligations owing to such Defaulting Lender as to which it exercised such right of set-off. Each Agent and each Lender agrees to notify such Loan Party promptly after any such set-off and application made by such Agent or such Lender or any of their respective Affiliates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failure to give such notice shall not affect the validity of such set-off and application. The rights of the Agents and the Lenders under this Section 12.05 are in addition to the other rights and remedies (including other rights of set-off) which the Agents and the Lenders may have under this Agreement or any other Loan Documents of law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12.06    </w:t>
      </w:r>
      <w:r>
        <w:rPr>
          <w:rFonts w:ascii="Times New Roman" w:hAnsi="Times New Roman"/>
          <w:caps w:val="false"/>
          <w:smallCaps w:val="false"/>
          <w:sz w:val="20"/>
          <w:u w:val="single"/>
        </w:rPr>
        <w:t>Severability</w:t>
      </w:r>
      <w:r>
        <w:rPr>
          <w:rFonts w:ascii="Times New Roman" w:hAnsi="Times New Roman"/>
          <w:caps w:val="false"/>
          <w:smallCaps w:val="false"/>
          <w:sz w:val="20"/>
        </w:rPr>
        <w:t>. Any provision of this Agreement which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12.07    </w:t>
      </w:r>
      <w:r>
        <w:rPr>
          <w:rFonts w:ascii="Times New Roman" w:hAnsi="Times New Roman"/>
          <w:caps w:val="false"/>
          <w:smallCaps w:val="false"/>
          <w:sz w:val="20"/>
          <w:u w:val="single"/>
        </w:rPr>
        <w:t>Assignments and Participations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This Agreement and the other Loan Documents shall be binding upon and inure to the benefit of each Loan Party and each Agent and each Lender and their respective successors and permitted assigns;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none of the Loan Parties may assign or transfer any of its rights hereunder or under the other Loan Documents without the prior written consent of each Lender and any such assignment without the Lenders’ prior written consent shall be null and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Subject to the conditions set forth in clause (c) below, each Lender may assign to one or more (x) Lenders, (y) Affiliates or Related Funds of any Lender or (z) commercial banks, insurance companies, or finance companies, financial institutions, any fund that invests in loans or any other “accredited investor” (as defined in Regulation D of the Securities Act) (other than to a natural person or, so long as no Event of Default has occurred and is continuing pursuant to Section 9.01(a), (f) or (g), a Competitor) all or a portion of its rights and obligations under this Agreement with respect to all or a portion of its Revolving Loan Commitment, Term Loan Commitment, Revolving Loans and/or any Term Loan made by it with the written consent of (i) in the case of Term Loans, the Collateral Agent (such consent of the Collateral Agent not to be unreasonably withheld, delayed or conditioned), (ii) in the case of Revolving Loans, the Collateral Agent and the Servicing Agent (which such consent of the Collateral Agent and Servicing Agent not to be unreasonably withheld, delayed or conditioned) and (iii) so long as Specified Event of Default has occurred and is continuing, the Administrative Borrower (such consent of the Administrative Borrower not to be unreasonably withheld, delayed or conditioned);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Administrative Borrower will be deemed to have consented if the Administrative Borrower has not responded within 10 Business Days of written request;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no written consent of the Collateral Agent, the Servicing Agent or the Administrative Borrower shall be required in connection with any assignment by a Lender to an Agent or a Lender, an Affiliate of an Agent or a Lender or a Related Fund of an Agent or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Assignments shall be subject to the following additional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Each such assignment shall be in an amount which is at least $5,000,000 or a multiple of $1,000,000 in excess thereof (or the remainder of such Lender’s Commitment) (except such minimum amount shall not apply to an assignment by a Lender to (A) an Agent or a Lender, an Affiliate of an Agent or a Lender or a Related Fund of an Agent or a Lender or (B) a group of new Lenders, each of whom is an Affiliate or Related Fund of each other to the extent the aggregate amount to be assigned to all such new Lenders is at least $5,000,000 or a multiple of $1,000,000 in excess thereof);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Except as provided in the last sentence of this Section 12.07(c)(ii), the parties to each such assignment shall execute and deliver to the Administrative Agent (and the Collateral Agent and the Servicing Agent, if applicable), for its acceptance, an Assignment and Acceptance, a joinder to the Agreement Among Lenders signed by the applicable assignee(s), together with any promissory note subject to such assignment and such parties shall deliver to the Administrative Agent an IRS Form W-9 and all documentation and other information required by Governmental Authorities under applicable “know your customer” and anti-money laundering rules and regulations, including, without limitation, the USA Patriot Act, along with, a processing and recordation fee of $5,000 (except the payment of such fee shall not be required in connection with an assignment by a Lender to a Lender, an Affiliate of such Lender or a Related Fund of such Lender) for the benefit of the Administrative Agent. Notwithstanding anything to the contrary contained in this Section 12.07(c)(ii), a Lender may assign any or all of its rights under the Loan Documents to an Affiliate of such Lender or a Related Fund of such Lender without delivering an Assignment and Acceptance to the Agents or to any other Person (a “</w:t>
      </w:r>
      <w:r>
        <w:rPr>
          <w:rFonts w:ascii="Times New Roman" w:hAnsi="Times New Roman"/>
          <w:caps w:val="false"/>
          <w:smallCaps w:val="false"/>
          <w:sz w:val="20"/>
          <w:u w:val="single"/>
        </w:rPr>
        <w:t>Related Party Assignment</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(A) the Borrowers and the Administrative Agent may continue to deal solely and directly with such assigning Lender until an Assignment and Acceptance has been delivered to the Administrative Agent for recordation on the Register, (B) the Collateral Agent may continue to deal solely and directly with such assigning Lender until receipt by the Collateral Agent of a copy of the fully executed Assignment and Acceptance pursuant to Section 12.07(g), (C) the failure of such assigning Lender to deliver an Assignment and Acceptance to the Agents shall not affect the legality, validity, or binding effect of such assignment, and (D) an Assignment and Acceptance between the assigning Lender and an Affiliate of such Lender or a Related Fund of such Lender shall be effective as of the date specified in such Assignment and Acceptance and recordation on the Related Party Register referred to in the last sentence of Section 12.07(f) below;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No such assignment shall be made to (A) any Loan Party, any shareholder or other equity holder of the Administrative Borrower or any of their respective Affiliates (other than to, in each case, TCW), (B) any Defaulting Lender or any of its Affiliates, or (C) so long as no Event of Default has occurred and is continuing pursuant to Section 9.01(a), (f) or (g), any Person who, upon becoming a Lender hereunder, would constitute a Competitor.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Upon such execution, delivery and acceptance, from and after the date recorded in the Register, which effective date shall be at least 3 Business Days after the delivery thereof to the Administrative Agent (or such shorter period as shall be agreed to by the Administrative Agent and the parties to such assignment), (A) the assignee thereunder shall become a “Lender” hereunder and, in addition to the rights and obligations hereunder held by it immediately prior to such effective date, have the rights and obligations hereunder that have been assigned to it pursuant to such Assignment and Acceptance and (B) the assigning Lender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By executing and delivering an Assignment and Acceptance, the assigning Lender and the assignee thereunder confirm to and agree with each other and the other parties hereto as follows: (i) other than as provided in such Assignment and Acceptance, the assigning Lender makes no representation or warranty and assumes no responsibility with respect to any statements, warranties or representations made in or in connection with this Agreement or any other Loan Document or the execution, legality, validity, enforceability, genuineness, sufficiency or value of this Agreement or any other Loan Document furnished pursuant hereto; (ii) the assigning Lender makes no representation or warranty and assumes no responsibility with respect to the financial condition of any Loan Party or any of its Subsidiaries or the performance or observance by any Loan Party of any of its obligations under this Agreement or any other Loan Document furnished pursuant hereto; (iii) so long as no Event of Default has occurred and is continuing pursuant to Section 9.01(a), (f) or (g), the assignee represents and warrants that it is not a Competitor and that it is legally authorized to enter into such Assignment and Acceptance ; (iv) such assignee confirms that it has received a copy of this Agreement and the other Loan Documents, together with such other documents and information it has deemed appropriate to make its own credit analysis and decision to enter into such Assignment and Acceptance; (v) such assignee will, independently and without reliance upon the assigning Lender, any Agent or any Lender and based on such documents and information as it shall deem appropriate at the time, continue to make its own credit decisions in taking or not taking action under this Agreement and the other Loan Documents; (vi) such assignee appoints and authorizes the Agents to take such action as agents on its behalf and to exercise such powers under this Agreement and the other Loan Documents as are delegated to the Agents by the terms hereof and thereof, together with such powers as are reasonably incidental hereto and thereto; and (vii) such assignee agrees that it will perform in accordance with their terms all of the obligations which by the terms of this Agreement and the other Loan Documents are required to be performed by it as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The Administrative Agent shall, acting solely for this purpose as a non- fiduciary agent of the Borrowers, maintain, or cause to be maintained at one of its offices, a copy of each Assignment and Acceptance delivered to and accepted by it and a register (the “</w:t>
      </w:r>
      <w:r>
        <w:rPr>
          <w:rFonts w:ascii="Times New Roman" w:hAnsi="Times New Roman"/>
          <w:caps w:val="false"/>
          <w:smallCaps w:val="false"/>
          <w:sz w:val="20"/>
          <w:u w:val="single"/>
        </w:rPr>
        <w:t>Register</w:t>
      </w:r>
      <w:r>
        <w:rPr>
          <w:rFonts w:ascii="Times New Roman" w:hAnsi="Times New Roman"/>
          <w:caps w:val="false"/>
          <w:smallCaps w:val="false"/>
          <w:sz w:val="20"/>
        </w:rPr>
        <w:t>”) for the recordation of the names and addresses of the Lenders and the Commitments of, and the principal amount of the Loans (and stated interest thereon) (the “</w:t>
      </w:r>
      <w:r>
        <w:rPr>
          <w:rFonts w:ascii="Times New Roman" w:hAnsi="Times New Roman"/>
          <w:caps w:val="false"/>
          <w:smallCaps w:val="false"/>
          <w:sz w:val="20"/>
          <w:u w:val="single"/>
        </w:rPr>
        <w:t>Registered Loans</w:t>
      </w:r>
      <w:r>
        <w:rPr>
          <w:rFonts w:ascii="Times New Roman" w:hAnsi="Times New Roman"/>
          <w:caps w:val="false"/>
          <w:smallCaps w:val="false"/>
          <w:sz w:val="20"/>
        </w:rPr>
        <w:t>”) owing to each Lender from time to time. The entries in the Register shall be conclusive and binding for all purposes, absent manifest error, and the Borrowers, the Agents and the Lenders shall treat each Person whose name is recorded in the Register as a Lender hereunder for all purposes of this Agreement. The Register shall be available for inspection by the Administrative Borrower and any Lender at any reasonable time and from time to time upon reasonable prior written notice. In the case of an assignment pursuant to the last sentence of Section 12.07(c)(ii) as to which an Assignment and Acceptance is not delivered to the Administrative Agent, the assigning Lender shall, acting solely for this purpose as a non-fiduciary agent of the Borrowers, maintain, or cause to be maintained, a register (the “</w:t>
      </w:r>
      <w:r>
        <w:rPr>
          <w:rFonts w:ascii="Times New Roman" w:hAnsi="Times New Roman"/>
          <w:caps w:val="false"/>
          <w:smallCaps w:val="false"/>
          <w:sz w:val="20"/>
          <w:u w:val="single"/>
        </w:rPr>
        <w:t>Related Party Register</w:t>
      </w:r>
      <w:r>
        <w:rPr>
          <w:rFonts w:ascii="Times New Roman" w:hAnsi="Times New Roman"/>
          <w:caps w:val="false"/>
          <w:smallCaps w:val="false"/>
          <w:sz w:val="20"/>
        </w:rPr>
        <w:t>”) comparable to the Register on behalf of the Borrowers. The Related Party Register shall be available for inspection by the Borrowers and any Lender at any reasonable time and from time to time upon reasonable prior notice. This Section 12.07(f) shall be construed so that the Loans are at all times maintained in “registered form” within the meanings of Sections 163(f), 871(h)(2) and 881(c)(2) of the Internal Revenue Code and any related regulations (and any successor provisions). Any Revolving PIK Amount capitalized in accordance with Section 2.04(d) of this Agreement that is not fungible with the applicable Term Loan outstanding on the date of such capitalization and any Delayed Draw Term Loan that is not fungible with the applicable Term Loan outstanding on the date of the draw, in each case, for U.S. federal income tax purposes shall be tracked separately from such Term Loan on the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Upon receipt by the Administrative Agent of a completed Assignment and Acceptance, and subject to any consent required from the Administrative Agent or the Collateral Agent pursuant to Section 12.07(b) (which consent of the applicable Agent must be evidenced by such Agent’s execution of an acceptance to such Assignment and Acceptance), the Administrative Agent shall accept such assignment, record the information contained therein in the Register (as adjusted to reflect any principal payments on or amounts capitalized and added to the principal balance of the Loans and/or Commitment reductions made subsequent to the effective date of the applicable assignment, as confirmed in writing by the corresponding assignor and assignee in conjunction with delivery of the assignment to the Administrative Agent) and provide to the Collateral Agent and the Servicing Agent, if applicable, a copy of the fully executed Assignment and Acceptance.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A Registered Loan (and the registered note, if any, evidencing the same) may be assigned or sold in whole or in part only by registration of such assignment or sale on the Register or the Related Party Register (and each registered note shall expressly so provide). Any assignment or sale of all or part of such Registered Loan (and the registered note, if any, evidencing the same) may be effected only by registration of such assignment or sale on the Register or the Related Party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In the event that any Lender sells participations in a Registered Loan, such Lender shall, acting for this purpose as a non-fiduciary agent on behalf of the Borrowers, maintain, or cause to be maintained, a register, on which it enters the name of all participants in the Registered Loans held by it and the principal amount (and stated interest thereon) of the portion of the Registered Loan that is the subject of the participation (the “</w:t>
      </w:r>
      <w:r>
        <w:rPr>
          <w:rFonts w:ascii="Times New Roman" w:hAnsi="Times New Roman"/>
          <w:caps w:val="false"/>
          <w:smallCaps w:val="false"/>
          <w:sz w:val="20"/>
          <w:u w:val="single"/>
        </w:rPr>
        <w:t>Participant Register</w:t>
      </w:r>
      <w:r>
        <w:rPr>
          <w:rFonts w:ascii="Times New Roman" w:hAnsi="Times New Roman"/>
          <w:caps w:val="false"/>
          <w:smallCaps w:val="false"/>
          <w:sz w:val="20"/>
        </w:rPr>
        <w:t>”). A Registered Loan (and the registered note, if any, evidencing the same)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The Participant Register shall be available for inspection by the Administrative Borrower and any Lender at any reasonable time and from time to time upon reasonable prior notice.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 103-1(c) of the United States Treasury Regulations. This Section shall be construed so that the Loans are at all times maintained in “registered form” within the meanings of Sections 163(f), 871(h)(2) and 881(c)(2) of the Internal Revenue Code and any related regulations (and any successor provisions). Any Revolving PIK Amount capitalized in accordance with Section 2.04(d) of this Agreement that is not fungible with the applicable Term Loan outstanding on the date of such capitalization and any Delayed Draw Term Loan that is not fungible with the applicable Term Loan outstanding on the date of the draw, in each case, for U.S. federal income tax purposes shall be tracked separately from such Term Loan on the Participant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Any Foreign Lender who purchases or is assigned or participates in any portion of such Registered Loan shall comply with Section 2.09(d).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(k)    Each Lender may sell participations to one or more banks or other entities (other than to a natural person or, so long as no Event of Default has occurred and is continuing pursuant to Section 9.01(a), (f) or (g), a Competitor) in or to all or a portion of its rights and obligations under this Agreement and the other Loan Documents (including, without limitation, all or a portion of its Commitments, the Loans made by it); </w:t>
      </w:r>
      <w:r>
        <w:rPr>
          <w:rFonts w:ascii="Times New Roman" w:hAnsi="Times New Roman"/>
          <w:caps w:val="false"/>
          <w:smallCaps w:val="false"/>
          <w:sz w:val="20"/>
          <w:u w:val="single"/>
        </w:rPr>
        <w:t>provided</w:t>
      </w:r>
      <w:r>
        <w:rPr>
          <w:rFonts w:ascii="Times New Roman" w:hAnsi="Times New Roman"/>
          <w:caps w:val="false"/>
          <w:smallCaps w:val="false"/>
          <w:sz w:val="20"/>
        </w:rPr>
        <w:t>, that (i) such Lender’s obligations under this Agreement (including without limitation, its Commitments hereunder) and the other Loan Documents shall remain unchanged; (ii) such Lender shall remain solely responsible to the other parties hereto for the performance of such obligations, and the Borrowers, the Agents and the other Lenders shall continue to deal solely and directly with such Lender in connection with such Lender’s rights and obligations under this Agreement and the other Loan Documents; (iii) a participant shall not be entitled to require such Lender to take or omit to take any action hereunder except (A) action directly effecting an extension of the scheduled maturity dates or decrease in the principal amount of the Loans, (B) action directly effecting an extension of the due dates or a decrease in the rate of interest payable on the Loans or the fees payable under this Agreement, or (C) actions directly effecting a release of all or substantially all of the Collateral or any Loan Party (except as set forth in Section 10.08 of this Agreement or any other Loan Document); and (iv) the limitations on participations pursuant to this clause (k) shall not apply if a Specified Event of Default has occurred and is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(l)    The Loan Parties agree that each participant shall be entitled to the benefits of Section 2.09 and Section 2.10 of this Agreement with respect to its participation in any portion of the Commitments and the Loans as if it was a Lender; it being understood that the documentation required under Section 2.09(d) shall be delivered to the participating Lender;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participant shall not be entitled to receive any greater payment under Section 2.09 or Section 2.10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Any Lender may at any time pledge or assign a security interest in all or any portion of its rights under this Agreement (other than a Competitor (unless an Event of Default has occurred and is continuing pursuant to Section 9.01(a), (f) or (g)) or a natural person) to secure obligations of such Lender, including any pledge or assignment to secure obligations to a Federal Reserve Bank or loans made to such Lender pursuant to securitization or similar credit facility (a “</w:t>
      </w:r>
      <w:r>
        <w:rPr>
          <w:rFonts w:ascii="Times New Roman" w:hAnsi="Times New Roman"/>
          <w:caps w:val="false"/>
          <w:smallCaps w:val="false"/>
          <w:sz w:val="20"/>
          <w:u w:val="single"/>
        </w:rPr>
        <w:t>Securitization</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such pledge or assignment shall release such Lender from any of its obligations hereunder or substitute any such pledgee or assignee for such Lender as a party hereto. The Loan Parties shall cooperate with such Lender and its Affiliates to effect the Securitization including, without limitation, by providing such customary information as may be reasonably requested by such Lender in connection with the rating of its Loans or the Securitization.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In the case of any assignment or participation by a Lender (A) to or with a Competitor (other than when an Event of Default has occurred and is continuing pursuant to Section 9.01(a), (f) or (g)) or (B) in the case of any assignment and/or participation, without the Administrative Borrower’s consent to the extent the Administrative Borrower’s consent is required under this Section 12.07 (and, if applicable, not deemed to have been given pursuant to Section 12.07(b)), in each case, to any Person, the Administrative Borrowers shall be entitled to seek specific performance to unwind any such assignment or participation and/or specifically enforce this Section 12.07(m) in addition to injunctive relief (without posting a bond or presenting evidence of irreparable harm) or any other remedy available to the Administrative Borrower at law or in equity; it being understood and agreed that the Administrative Borrower and its Subsidiaries will suffer irreparable harm if any Lender breaches any obligation under this Section 12.07 as it relates to any assignment or participation to a Competitor (unless otherwise permitted hereunder), the pledge or assignment of any security interest in any Loan or Commitment to a Competitor (unless otherwise permitted hereunder) and/or any assignment or participation of, or pledge or assignment of a security interest in, any Loan or Commitment to any Person to whom the Administrative Borrower’s consent is required but not obtained. Nothing in this Section 12.07(m) shall be deemed to prejudice any right or remedy that the Borrowers may otherwise have at law or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12.08    </w:t>
      </w:r>
      <w:r>
        <w:rPr>
          <w:rFonts w:ascii="Times New Roman" w:hAnsi="Times New Roman"/>
          <w:caps w:val="false"/>
          <w:smallCaps w:val="false"/>
          <w:sz w:val="20"/>
          <w:u w:val="single"/>
        </w:rPr>
        <w:t>Counterparts</w:t>
      </w:r>
      <w:r>
        <w:rPr>
          <w:rFonts w:ascii="Times New Roman" w:hAnsi="Times New Roman"/>
          <w:caps w:val="false"/>
          <w:smallCaps w:val="false"/>
          <w:sz w:val="20"/>
        </w:rPr>
        <w:t xml:space="preserve">. This Agreement may be executed in any number of counterparts and by different parties hereto in separate counterparts, each of which shall be deemed to be an original, but all of which taken together shall constitute one and the same agreement. Delivery of an executed counterpart of this Agreement by telecopier or electronic mail shall be equally as effective as delivery of an original executed counterpart of this Agreement. Any party delivering an executed counterpart of this Agreement by telecopier or electronic mail also shall deliver an original executed counterpart of this Agreement but the failure to deliver an original executed counterpart shall not affect the validity, enforceability, and binding effect of this Agreement. The foregoing shall apply to each other Loan Document </w:t>
      </w:r>
      <w:r>
        <w:rPr>
          <w:rFonts w:ascii="Times New Roman" w:hAnsi="Times New Roman"/>
          <w:i/>
          <w:caps w:val="false"/>
          <w:smallCaps w:val="false"/>
          <w:sz w:val="20"/>
        </w:rPr>
        <w:t>mutatis mutandis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12.09    </w:t>
      </w:r>
      <w:r>
        <w:rPr>
          <w:rFonts w:ascii="Times New Roman" w:hAnsi="Times New Roman"/>
          <w:caps w:val="false"/>
          <w:smallCaps w:val="false"/>
          <w:sz w:val="20"/>
          <w:u w:val="single"/>
        </w:rPr>
        <w:t>GOVERNING LAW</w:t>
      </w:r>
      <w:r>
        <w:rPr>
          <w:rFonts w:ascii="Times New Roman" w:hAnsi="Times New Roman"/>
          <w:caps w:val="false"/>
          <w:smallCaps w:val="false"/>
          <w:sz w:val="20"/>
        </w:rPr>
        <w:t>. THIS AGREEMENT AND THE OTHER LOAN DOCUMENTS (UNLESS EXPRESSLY PROVIDED TO THE CONTRARY IN ANOTHER LOAN DOCUMENT IN RESPECT OF SUCH OTHER LOAN DOCUMENT) SHALL BE GOVERNED BY, AND CONSTRUED IN ACCORDANCE WITH, THE LAW OF THE STATE OF NEW YORK APPLICABLE TO CONTRACTS MADE AND TO BE PERFORMED IN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12.10    </w:t>
      </w:r>
      <w:r>
        <w:rPr>
          <w:rFonts w:ascii="Times New Roman" w:hAnsi="Times New Roman"/>
          <w:caps w:val="false"/>
          <w:smallCaps w:val="false"/>
          <w:sz w:val="20"/>
          <w:u w:val="single"/>
        </w:rPr>
        <w:t>CONSENT TO JURISDICTION; SERVICE OF PROCESS AND VENUE</w:t>
      </w:r>
      <w:r>
        <w:rPr>
          <w:rFonts w:ascii="Times New Roman" w:hAnsi="Times New Roman"/>
          <w:caps w:val="false"/>
          <w:smallCaps w:val="false"/>
          <w:sz w:val="20"/>
        </w:rPr>
        <w:t>. ANY LEGAL ACTION OR PROCEEDING WITH RESPECT TO THIS AGREEMENT OR ANY OTHER LOAN DOCUMENT MAY BE BROUGHT IN THE COURTS OF THE STATE OF NEW YORK IN THE COUNTY OF NEW YORK OR OF THE UNITED STATES DISTRICT COURT FOR THE SOUTHERN DISTRICT OF NEW YORK, AND, BY EXECUTION AND DELIVERY OF THIS AGREEMENT, EACH PARTY HERETO HEREBY IRREVOCABLY ACCEPTS IN RESPECT OF ITS PROPERTY, GENERALLY AND UNCONDITIONALLY, THE JURISDICTION OF THE AFORESAID COURTS. EACH PARTY HERETO HEREBY IRREVOCABLY CONSENTS TO THE SERVICE OF PROCESS OUT OF ANY OF THE AFOREMENTIONED COURTS AND IN ANY SUCH ACTION OR PROCEEDING BY ANY MEANS PERMITTED BY APPLICABLE LAW, INCLUDING, WITHOUT LIMITATION, BY THE MAILING OF COPIES THEREOF BY REGISTERED OR CERTIFIED MAIL, POSTAGE PREPAID, TO SUCH PARTY AT ITS ADDRESS FOR NOTICES AS SET FORTH IN SECTION 12.01, SUCH SERVICE TO BECOME EFFECTIVE 10 DAYS AFTER SUCH MAILING. EACH PARTY HERETO AGREES THAT A FINAL JUDGMENT IN ANY SUCH ACTION OR PROCEEDING SHALL BE CONCLUSIVE AND MAY BE ENFORCED IN OTHER JURISDICTIONS BY SUIT ON THE JUDGMENT OR IN ANY OTHER MANNER PROVIDED BY LAW. NOTHING HEREIN SHALL AFFECT THE RIGHT OF THE AGENTS AND THE LENDERS TO SERVICE OF PROCESS IN ANY OTHER MANNER PERMITTED BY LAW OR TO COMMENCE LEGAL PROCEEDINGS OR OTHERWISE PROCEED AGAINST ANY LOAN PARTY IN ANY OTHER JURISDICTION. EACH LOAN PARTY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ANY LOAN PARTY HAS OR HEREAFTER MAY ACQUIRE ANY IMMUNITY FROM JURISDICTION OF ANY COURT OR FROM ANY LEGAL PROCESS (WHETHER THROUGH SERVICE OR NOTICE, ATTACHMENT PRIOR TO JUDGMENT, ATTACHMENT IN AID OF EXECUTION OR OTHERWISE) WITH RESPECT TO ITSELF OR ITS PROPERTY, EACH LOAN PARTY HEREBY IRREVOCABLY WAIVES SUCH IMMUNITY IN RESPECT OF ITS OBLIGATIONS UNDER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12.11    </w:t>
      </w:r>
      <w:r>
        <w:rPr>
          <w:rFonts w:ascii="Times New Roman" w:hAnsi="Times New Roman"/>
          <w:caps w:val="false"/>
          <w:smallCaps w:val="false"/>
          <w:sz w:val="20"/>
          <w:u w:val="single"/>
        </w:rPr>
        <w:t>WAIVER OF JURY TRIAL, ETC.</w:t>
      </w:r>
      <w:r>
        <w:rPr>
          <w:rFonts w:ascii="Times New Roman" w:hAnsi="Times New Roman"/>
          <w:caps w:val="false"/>
          <w:smallCaps w:val="false"/>
          <w:sz w:val="20"/>
        </w:rPr>
        <w:t xml:space="preserve"> EACH PARTY HERETO HEREBY WAIVES (TO THE EXTENT PERMITTED BY APPLICABLE LAW) ANY RIGHT TO A TRIAL BY JURY IN ANY ACTION, PROCEEDING OR COUNTERCLAIM CONCERNING ANY RIGHTS UNDER THIS AGREEMENT OR THE OTHER LOAN DOCUMENTS, OR UNDER ANY AMENDMENT, WAIVER, CONSENT, INSTRUMENT, DOCUMENT OR OTHER AGREEMENT DELIVERED OR WHICH IN THE FUTURE MAY BE DELIVERED IN CONNECTION THEREWITH, OR ARISING FROM ANY FINANCING RELATIONSHIP EXISTING IN CONNECTION WITH THIS AGREEMENT, AND AGREES THAT ANY SUCH ACTION, PROCEEDINGS OR COUNTERCLAIM SHALL BE TRIED BEFORE A COURT AND NOT BEFORE A JURY.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CERTIFIES THAT NO OFFICER, REPRESENTATIVE, AGENT OR ATTORNEY OF ANY OTHER PARTY HERETO HAS REPRESENTED, EXPRESSLY OR OTHERWISE, THAT SUCH OTHER PARTY HERETO WOULD NOT, IN THE EVENT OF ANY ACTION, PROCEEDING OR COUNTERCLAIM, SEEK TO ENFORCE THE FOREGOING WAIVERS. EACH PARTY HERETO HEREBY ACKNOWLEDGES THAT THIS PROVISION IS A MATERIAL INDUCEMENT FOR EACH OTHER PARTY HERETO TO ENTER INTO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12.12    </w:t>
      </w:r>
      <w:r>
        <w:rPr>
          <w:rFonts w:ascii="Times New Roman" w:hAnsi="Times New Roman"/>
          <w:caps w:val="false"/>
          <w:smallCaps w:val="false"/>
          <w:sz w:val="20"/>
          <w:u w:val="single"/>
        </w:rPr>
        <w:t>Consent by the Agents and Lenders</w:t>
      </w:r>
      <w:r>
        <w:rPr>
          <w:rFonts w:ascii="Times New Roman" w:hAnsi="Times New Roman"/>
          <w:caps w:val="false"/>
          <w:smallCaps w:val="false"/>
          <w:sz w:val="20"/>
        </w:rPr>
        <w:t>. Except as otherwise expressly set forth herein to the contrary or in any other Loan Document, if the consent, approval, satisfaction, determination, judgment, acceptance or similar action (an “</w:t>
      </w:r>
      <w:r>
        <w:rPr>
          <w:rFonts w:ascii="Times New Roman" w:hAnsi="Times New Roman"/>
          <w:caps w:val="false"/>
          <w:smallCaps w:val="false"/>
          <w:sz w:val="20"/>
          <w:u w:val="single"/>
        </w:rPr>
        <w:t>Action</w:t>
      </w:r>
      <w:r>
        <w:rPr>
          <w:rFonts w:ascii="Times New Roman" w:hAnsi="Times New Roman"/>
          <w:caps w:val="false"/>
          <w:smallCaps w:val="false"/>
          <w:sz w:val="20"/>
        </w:rPr>
        <w:t>”) of any Agent or any Lender shall be permitted or required pursuant to any provision hereof or any provision of any other agreement to which any Loan Party is a party and to which any Agent or any Lender has succeeded thereto, such Action shall be required to be in writing and may be withheld or denied by such Agent or such Lender, in its sole discretion, with or without any reason, and without being subject to question or challenge on the grounds that such Action was not taken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12.13    </w:t>
      </w:r>
      <w:r>
        <w:rPr>
          <w:rFonts w:ascii="Times New Roman" w:hAnsi="Times New Roman"/>
          <w:caps w:val="false"/>
          <w:smallCaps w:val="false"/>
          <w:sz w:val="20"/>
          <w:u w:val="single"/>
        </w:rPr>
        <w:t>No Party Deemed Drafter</w:t>
      </w:r>
      <w:r>
        <w:rPr>
          <w:rFonts w:ascii="Times New Roman" w:hAnsi="Times New Roman"/>
          <w:caps w:val="false"/>
          <w:smallCaps w:val="false"/>
          <w:sz w:val="20"/>
        </w:rPr>
        <w:t>. Each of the parties hereto agrees that no party hereto shall be deemed to be the drafter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12.14    </w:t>
      </w:r>
      <w:r>
        <w:rPr>
          <w:rFonts w:ascii="Times New Roman" w:hAnsi="Times New Roman"/>
          <w:caps w:val="false"/>
          <w:smallCaps w:val="false"/>
          <w:sz w:val="20"/>
          <w:u w:val="single"/>
        </w:rPr>
        <w:t>Reinstatement; Certain Payments</w:t>
      </w:r>
      <w:r>
        <w:rPr>
          <w:rFonts w:ascii="Times New Roman" w:hAnsi="Times New Roman"/>
          <w:caps w:val="false"/>
          <w:smallCaps w:val="false"/>
          <w:sz w:val="20"/>
        </w:rPr>
        <w:t>. If any claim is ever made upon any Secured Party for repayment or recovery of any amount or amounts received by such Secured Party in payment or on account of any of the Obligations, such Secured Party shall give prompt notice of such claim to each other Agent and Lender and the Administrative Borrower, and if such Secured Party repays all or part of such amount by reason of (i) any judgment, decree or order of any court or administrative body having jurisdiction over such Secured Party or any of its property, or (ii) any good faith settlement or compromise of any such claim effected by such Secured Party with any such claimant, then and in such event each Loan Party agrees that (A) any such judgment, decree, order, settlement or compromise shall be binding upon it notwithstanding the cancellation of any Indebtedness hereunder or under the other Loan Documents or the termination of this Agreement or the other Loan Documents, and (B) it shall be and remain liable to such Secured Party hereunder for the amount so repaid or recovered to the same extent as if such amount had never originally been received by such Secured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12.15    </w:t>
      </w:r>
      <w:r>
        <w:rPr>
          <w:rFonts w:ascii="Times New Roman" w:hAnsi="Times New Roman"/>
          <w:caps w:val="false"/>
          <w:smallCaps w:val="false"/>
          <w:sz w:val="20"/>
          <w:u w:val="single"/>
        </w:rPr>
        <w:t>Indemnification; Limitation of Liability for Certain Damages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In addition to each Loan Party’s other Obligations under this Agreement, each Loan Party agrees to, jointly and severally, defend, protect, indemnify and hold harmless each Secured Party and all of their respective Affiliates, officers, directors, employees, attorneys, consultants and agents (collectively called the “</w:t>
      </w:r>
      <w:r>
        <w:rPr>
          <w:rFonts w:ascii="Times New Roman" w:hAnsi="Times New Roman"/>
          <w:caps w:val="false"/>
          <w:smallCaps w:val="false"/>
          <w:sz w:val="20"/>
          <w:u w:val="single"/>
        </w:rPr>
        <w:t>Indemnitees</w:t>
      </w:r>
      <w:r>
        <w:rPr>
          <w:rFonts w:ascii="Times New Roman" w:hAnsi="Times New Roman"/>
          <w:caps w:val="false"/>
          <w:smallCaps w:val="false"/>
          <w:sz w:val="20"/>
        </w:rPr>
        <w:t>”) from and against any and all actual losses, damages, liabilities, obligations, penalties, fees, reasonable and documented out-of-pocket costs and expenses (including, without limitation, reasonable and documented out-of-pocket attorneys’ fees, costs and expenses (but limited to the reasonable and documented out-of-pocket fees, costs, client charges and expenses of (x) one firm of lead counsel (and, in the case of an actual or potential conflict of interest, one additional lead counsel for each affected party similarly situated) for each of (i) the Indemnitees affiliated with the Administrative Agent, and (ii) the Indemnitees affiliated with the Servicing Agent, and (y) one local counsel in each relevant jurisdiction and one regulatory counsel in each regulatory area of law (and, in the case of an actual or potential conflict of interest, one additional local counsel in each relevant jurisdiction and one additional regulatory counsel in each regulatory area of law for each affected party similarly situated) for the Indemnitees, taken as a whole) incurred by such Indemnitees, whether prior to or from and after the Effective Date, whether direct, indirect or consequential, as a result of or arising from or relating to or in connection with any of the following: (i) the negotiation, preparation, execution or performance or enforcement of this Agreement, any other Loan Document or of any other document executed in connection with the transactions contemplated by this Agreement, (ii) any Agent’s or any Lender’s furnishing of funds to the Borrowers under this Agreement or the other Loan Documents, including, without limitation, the management of any such Loans or the Borrowers’ use of the proceeds thereof, (iii) the Agents and the Lenders relying on any instructions of the Administrative Borrower or the handling of the Loan Account and Collateral of the Borrowers as herein provided, (iv) any matter relating to the financing transactions contemplated by this Agreement or the other Loan Documents or by any document executed in connection with the transactions contemplated by this Agreement or the other Loan Documents, or (v) any claim, litigation, investigation or proceeding relating to any of the foregoing, whether or not any Indemnitee is a party thereto (collectively, the “</w:t>
      </w:r>
      <w:r>
        <w:rPr>
          <w:rFonts w:ascii="Times New Roman" w:hAnsi="Times New Roman"/>
          <w:caps w:val="false"/>
          <w:smallCaps w:val="false"/>
          <w:sz w:val="20"/>
          <w:u w:val="single"/>
        </w:rPr>
        <w:t>Indemnified Matters</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Loan Parties shall not have any obligation to any Indemnitee under this subsection (a) for any Indemnified Matter caused by the bad faith, gross negligence or willful misconduct of such Indemnitee (or its related parties), as determined by a final non-appealable judgment of a court of competent jurisdiction (b) any claims or actions against any Indemnitee brought about by an Indemnitee (other than (i) claims or actions against any Person in its capacity or in fulfilling its role as the Administrative Agent, the Collateral Agent or the Servicing Agent or a similar role under the Loan Documents and (ii) claims or actions arising out of any act or omission of any Loan Party or any of its Affiliates). Each Indemnitee shall be obligated to refund or return any and all amounts paid by the Loan Parties pursuant to this Section 12.15(a) to such Indemnitee for any fees, expenses, or damages to the extent such Indemnitee is not entitled to payment thereof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indemnification for all of the foregoing losses, damages, fees, costs and expenses of the Indemnitees set forth in this Section 12.15 are chargeable against the Loan Account to the extent earned, due and payable and not paid. To the extent that the undertaking to indemnify, pay and hold harmless set forth in this Section 12.15 may be unenforceable because it is violative of any law or public policy, each Loan Party shall, jointly and severally, contribute the maximum portion which it is permitted to pay and satisfy under applicable law, to the payment and satisfaction of all Indemnified Matters incurred by the Indemnitees.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 party hereto shall assert, and each party hereto hereby waives, any claim against the Indemnitees,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other Loan Document or any agreement or instrument contemplated hereby or thereby or referred to herein or therein, the transactions contemplated hereby or thereby, any Loan or the use of the proceeds thereof or any act or omission or event occurring in connection therewith, and each Loan Party hereby waives, releases and agrees not to sue upon any such claim or seek any such damages, whether or not accrued and whether or not known or suspected to exist in its favor.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The indemnities and waivers set forth in this Section 12.15 shall survive the repayment of the Obligations and discharge of any Liens granted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All such amounts payable under this Section 12.15 shall be due and payable within 20 days of written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12.16    </w:t>
      </w:r>
      <w:r>
        <w:rPr>
          <w:rFonts w:ascii="Times New Roman" w:hAnsi="Times New Roman"/>
          <w:caps w:val="false"/>
          <w:smallCaps w:val="false"/>
          <w:sz w:val="20"/>
          <w:u w:val="single"/>
        </w:rPr>
        <w:t>Records</w:t>
      </w:r>
      <w:r>
        <w:rPr>
          <w:rFonts w:ascii="Times New Roman" w:hAnsi="Times New Roman"/>
          <w:caps w:val="false"/>
          <w:smallCaps w:val="false"/>
          <w:sz w:val="20"/>
        </w:rPr>
        <w:t>. The unpaid principal of and interest on the Loans, the interest rate or rates applicable to such unpaid principal and interest, the duration of such applicability, the Commitments, and the accrued and unpaid fees payable pursuant to Section 2.06 hereof, shall at all times be ascertained from the records of the Agents, which shall be conclusive and binding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12.17    </w:t>
      </w:r>
      <w:r>
        <w:rPr>
          <w:rFonts w:ascii="Times New Roman" w:hAnsi="Times New Roman"/>
          <w:caps w:val="false"/>
          <w:smallCaps w:val="false"/>
          <w:sz w:val="20"/>
          <w:u w:val="single"/>
        </w:rPr>
        <w:t>Binding Effect</w:t>
      </w:r>
      <w:r>
        <w:rPr>
          <w:rFonts w:ascii="Times New Roman" w:hAnsi="Times New Roman"/>
          <w:caps w:val="false"/>
          <w:smallCaps w:val="false"/>
          <w:sz w:val="20"/>
        </w:rPr>
        <w:t>. This Agreement shall become effective when it shall have been executed by each Loan Party, each Agent and each Lender and when the conditions precedent set forth in Section 5.01 hereof have been satisfied or waived in writing by the Agents, and thereafter shall be binding upon and inure to the benefit of each Loan Party, each Agent and each Lender, and their respective successors and assigns, except that the Loan Parties shall not have the right to assign their rights hereunder or any interest herein without the prior written consent of each Agent and each Lender, and any assignment by any Lender shall be governed by Section 12.07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12.18    </w:t>
      </w:r>
      <w:r>
        <w:rPr>
          <w:rFonts w:ascii="Times New Roman" w:hAnsi="Times New Roman"/>
          <w:caps w:val="false"/>
          <w:smallCaps w:val="false"/>
          <w:sz w:val="20"/>
          <w:u w:val="single"/>
        </w:rPr>
        <w:t>Highest Lawful Rate</w:t>
      </w:r>
      <w:r>
        <w:rPr>
          <w:rFonts w:ascii="Times New Roman" w:hAnsi="Times New Roman"/>
          <w:caps w:val="false"/>
          <w:smallCaps w:val="false"/>
          <w:sz w:val="20"/>
        </w:rPr>
        <w:t>. It is the intention of the parties hereto that each Agent and each Lender shall conform strictly to usury laws applicable to it. Accordingly, if the transactions contemplated hereby or by any other Loan Document would be usurious as to any Agent or any Lender under laws applicable to it (including the laws of the United States of America and the State of New York or any other jurisdiction whose laws may be mandatorily applicable to such Agent or such Lender notwithstanding the other provisions of this Agreement), then, in that event, notwithstanding anything to the contrary in this Agreement or any other Loan Document or any agreement entered into in connection with or as security for the Obligations, it is agreed as follows: (i) the aggregate of all consideration which constitutes interest under law applicable to any Agent or any Lender that is contracted for, taken, reserved, charged or received by such Agent or such Lender under this Agreement or any other Loan Document or agreements or otherwise in connection with the Obligations shall under no circumstances exceed the maximum amount allowed by such applicable law, any excess shall be canceled automatically and if theretofore paid shall be credited by such Agent or such Lender on the principal amount of the Obligations (or, to the extent that the principal amount of the Obligations shall have been or would thereby be paid in full, refunded by such Agent or such Lender, as applicable, to the Borrowers); and (ii) in the event that the maturity of the Obligations is accelerated by reason of any Event of Default under this Agreement or otherwise, or in the event of any required or permitted prepayment, then such consideration that constitutes interest under law applicable to any Agent or any Lender may never include more than the maximum amount allowed by such applicable law, and excess interest, if any, provided for in this Agreement or otherwise shall, subject to the last sentence of this Section 12.18, be canceled automatically by such Agent or such Lender, as applicable, as of the date of such acceleration or prepayment and, if theretofore paid, shall be credited by such Agent or such Lender, as applicable, on the principal amount of the Obligations (or, to the extent that the principal amount of the Obligations shall have been or would thereby be paid in full, refunded by such Agent or such Lender to the Borrowers). All sums paid or agreed to be paid to any Agent or any Lender for the use, forbearance or detention of sums due hereunder shall, to the extent permitted by law applicable to such Agent or such Lender, be amortized, prorated, allocated and spread throughout the full term of the Loans until payment in full so that the rate or amount of interest on account of any Loans hereunder does not exceed the maximum amount allowed by such applicable law. If at any time and from time to time (x) the amount of interest payable to any Agent or any Lender on any date shall be computed at the Highest Lawful Rate applicable to such Agent or such Lender pursuant to this Section 12.18 and (y) in respect of any subsequent interest computation period the amount of interest otherwise payable to such Agent or such Lender would be less than the amount of interest payable to such Agent or such Lender computed at the Highest Lawful Rate applicable to such Agent or such Lender, then the amount of interest payable to such Agent or such Lender in respect of such subsequent interest computation period shall continue to be computed at the Highest Lawful Rate applicable to such Agent or such Lender until the total amount of interest payable to such Agent or such Lender shall equal the total amount of interest which would have been payable to such Agent or such Lender if the total amount of interest had been computed without giving effect to this Section 12.18.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Section 12.18, the term “applicable law” shall mean that law in effect from time to time and applicable to the loan transaction between the Borrowers, on the one hand, and the Agents and the Lenders, on the other, that lawfully permits the charging and collection of the highest permissible, lawful non-usurious rate of interest on such loan transaction and this Agreement, including laws of the State of New York and, to the extent controlling, laws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right to accelerate the maturity of the Obligations does not include the right to accelerate any interest that has not accrued as of the date of acceleration.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12.19    </w:t>
      </w:r>
      <w:r>
        <w:rPr>
          <w:rFonts w:ascii="Times New Roman" w:hAnsi="Times New Roman"/>
          <w:caps w:val="false"/>
          <w:smallCaps w:val="false"/>
          <w:sz w:val="20"/>
          <w:u w:val="single"/>
        </w:rPr>
        <w:t>Confidentiality</w:t>
      </w:r>
      <w:r>
        <w:rPr>
          <w:rFonts w:ascii="Times New Roman" w:hAnsi="Times New Roman"/>
          <w:caps w:val="false"/>
          <w:smallCaps w:val="false"/>
          <w:sz w:val="20"/>
        </w:rPr>
        <w:t xml:space="preserve">. Each Agent and each Lender agrees (on behalf of itself and each of its Affiliates, directors, officers, employees and representatives) to keep confidential any non-public information supplied to it by, or on behalf of, the Loan Parties pursuant to this Agreement or the other Loan Documents (and which at the time is not, and does not thereafter become, publicly available or available to such Person or its Affiliates from another source not known to be subject to a confidentiality obligation to such Person not to disclose such information),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nothing herein shall limit the disclosure by any Agent or any Lender of any such information (i) to its Affiliates and to its and its Affiliates’ respective equityholders (including, without limitation, partners), directors, officers, employees, agents, trustees, counsel, advisors and representatives (it being understood that the Persons to whom such disclosure is made will be informed of the confidential nature of such information and instructed to keep such information confidential in accordance with this Section 12.19) and the Lenders shall be liable for any breach hereof by such Person; (ii) to any other party hereto; (iii) to any assignee or participant (or prospective assignee or participant) or any party to a Securitization so long as such assignee or participant (or prospective assignee or participant) or party to a Securitization first agrees, in writing, to be bound by confidentiality provisions similar in substance to this Section 12.19 (other than a Competitor); (iv) to the extent required by any Requirement of Law or judicial process or as otherwise requested by any Governmental Authority,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Administrative Agent shall (A) use commercially reasonable efforts to give the applicable Loan Party written notice prior to disclosing the information to the extent permitted by such requirement, (B) reasonably cooperate with the Loan Party to obtain a protective order or similar confidential treatment, and (C) only disclose that portion of the confidential information as counsel for the Administrative Agent advises the Administrative Agent it must disclose pursuant to such requirement; (v) to the National Association of Insurance Commissioners or any similar organization, any examiner, auditor or accountant or any nationally recognized rating agency or otherwise to the extent consisting of general portfolio information that does not identify Loan Parties; (vi) in connection with any litigation to which any Agent or any Lender is a party (so long as such Agent or Lender provides the Administrative Borrower with prompt notice thereof to the extent permitted by applicable law); (vii) in connection with the exercise of any remedies hereunder or under any other Loan Document or any action or proceeding relating to this Agreement or any other Loan Document or the enforcement of rights hereunder or thereunder; or (viii) with the consent of the Administrative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12.20    </w:t>
      </w:r>
      <w:r>
        <w:rPr>
          <w:rFonts w:ascii="Times New Roman" w:hAnsi="Times New Roman"/>
          <w:caps w:val="false"/>
          <w:smallCaps w:val="false"/>
          <w:sz w:val="20"/>
          <w:u w:val="single"/>
        </w:rPr>
        <w:t>Public Disclosure</w:t>
      </w:r>
      <w:r>
        <w:rPr>
          <w:rFonts w:ascii="Times New Roman" w:hAnsi="Times New Roman"/>
          <w:caps w:val="false"/>
          <w:smallCaps w:val="false"/>
          <w:sz w:val="20"/>
        </w:rPr>
        <w:t>. Each Loan Party agrees that neither it nor any of its Affiliates will now or in the future issue any press release or other public disclosure using the name of an Agent, any Lender or any of their respective Affiliates without the prior written consent of such Agent or such Lender, except to the extent that such Loan Party or such Affiliate is required to do so under applicable law (in which event, such Loan Party or such Affiliate will consult with such Agent or such Lender before issuing such press release or other public disclosure). Each Loan Party hereby authorizes each Agent and each Lender, with the consent of the Administrative Borrower (such consent not to be unreasonably withheld, delayed or conditioned), to advertise the closing of the transactions contemplated by this Agreement, and to make appropriate announcements of the financial arrangements entered into among the parties hereto, as such Agent or such Lender shall deem appropriate, including, without limitation, on a home page or similar place for dissemination of information on the Internet or worldwide web, or in announcements commonly known as tombstones, in such trade publications, business journals, newspapers of general circulation and to such selected parties as such Agent or such Lender shall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12.21    </w:t>
      </w:r>
      <w:r>
        <w:rPr>
          <w:rFonts w:ascii="Times New Roman" w:hAnsi="Times New Roman"/>
          <w:caps w:val="false"/>
          <w:smallCaps w:val="false"/>
          <w:sz w:val="20"/>
          <w:u w:val="single"/>
        </w:rPr>
        <w:t>Integration</w:t>
      </w:r>
      <w:r>
        <w:rPr>
          <w:rFonts w:ascii="Times New Roman" w:hAnsi="Times New Roman"/>
          <w:caps w:val="false"/>
          <w:smallCaps w:val="false"/>
          <w:sz w:val="20"/>
        </w:rPr>
        <w:t>. This Agreement, together with the other Loan Documents, reflects the entire understanding of the parties with respect to the transactions contemplated hereby and shall not be contradicted or qualified by any other agreement, oral or written, before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12.22    </w:t>
      </w:r>
      <w:r>
        <w:rPr>
          <w:rFonts w:ascii="Times New Roman" w:hAnsi="Times New Roman"/>
          <w:caps w:val="false"/>
          <w:smallCaps w:val="false"/>
          <w:sz w:val="20"/>
          <w:u w:val="single"/>
        </w:rPr>
        <w:t>USA PATRIOT Act.</w:t>
      </w:r>
      <w:r>
        <w:rPr>
          <w:rFonts w:ascii="Times New Roman" w:hAnsi="Times New Roman"/>
          <w:caps w:val="false"/>
          <w:smallCaps w:val="false"/>
          <w:sz w:val="20"/>
        </w:rPr>
        <w:t xml:space="preserve"> Each Lender that is subject to the requirements of the USA PATRIOT Act hereby notifies the Borrowers that pursuant to the requirements of the USA PATRIOT Act, it is required to obtain, verify and record information that identifies the entities composing the Borrowers, which information includes the name and address of each such entity and other information that will allow such Lender to identify the entities composing the Borrowers in accordance with the USA PATRIOT Act. Each Loan Party agrees to take such action and execute, acknowledge and deliver at its sole cost and expense, such instruments and documents as any Lender may reasonably require from time to time in order to enable such Lender to comply with the USA PATRIOT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12.23    </w:t>
      </w:r>
      <w:r>
        <w:rPr>
          <w:rFonts w:ascii="Times New Roman" w:hAnsi="Times New Roman"/>
          <w:caps w:val="false"/>
          <w:smallCaps w:val="false"/>
          <w:sz w:val="20"/>
          <w:u w:val="single"/>
        </w:rPr>
        <w:t>Survival of Agreement</w:t>
      </w:r>
      <w:r>
        <w:rPr>
          <w:rFonts w:ascii="Times New Roman" w:hAnsi="Times New Roman"/>
          <w:caps w:val="false"/>
          <w:smallCaps w:val="false"/>
          <w:sz w:val="20"/>
        </w:rPr>
        <w:t xml:space="preserve">. All covenants, agreements, representations and warranties made by the Borrower herein and in the certificates, reports, instruments or other documents prepared or delivered in connection with or pursuant to this Agreement or any other Loan Document shall be considered to have been relied upon by the Lenders and shall survive the making by the Lenders of the Loans, regardless of any investigation made by the Lenders or on their behalf, and shall continue in full force and effect as long as the principal of or any accrued interest on any Loan or any fee or any other amount payable under this Agreement or any other Loan Document is outstanding and unpaid and so long as the Commitments have not been terminated. The provisions of </w:t>
      </w:r>
      <w:r>
        <w:rPr>
          <w:rFonts w:ascii="Times New Roman" w:hAnsi="Times New Roman"/>
          <w:caps w:val="false"/>
          <w:smallCaps w:val="false"/>
          <w:sz w:val="20"/>
          <w:u w:val="single"/>
        </w:rPr>
        <w:t>Sections 2.10</w:t>
      </w:r>
      <w:r>
        <w:rPr>
          <w:rFonts w:ascii="Times New Roman" w:hAnsi="Times New Roman"/>
          <w:caps w:val="false"/>
          <w:smallCaps w:val="false"/>
          <w:sz w:val="20"/>
        </w:rPr>
        <w:t xml:space="preserve">, </w:t>
      </w:r>
      <w:r>
        <w:rPr>
          <w:rFonts w:ascii="Times New Roman" w:hAnsi="Times New Roman"/>
          <w:caps w:val="false"/>
          <w:smallCaps w:val="false"/>
          <w:sz w:val="20"/>
          <w:u w:val="single"/>
        </w:rPr>
        <w:t>10.05</w:t>
      </w:r>
      <w:r>
        <w:rPr>
          <w:rFonts w:ascii="Times New Roman" w:hAnsi="Times New Roman"/>
          <w:caps w:val="false"/>
          <w:smallCaps w:val="false"/>
          <w:sz w:val="20"/>
        </w:rPr>
        <w:t xml:space="preserve">, </w:t>
      </w:r>
      <w:r>
        <w:rPr>
          <w:rFonts w:ascii="Times New Roman" w:hAnsi="Times New Roman"/>
          <w:caps w:val="false"/>
          <w:smallCaps w:val="false"/>
          <w:sz w:val="20"/>
          <w:u w:val="single"/>
        </w:rPr>
        <w:t>12.04</w:t>
      </w:r>
      <w:r>
        <w:rPr>
          <w:rFonts w:ascii="Times New Roman" w:hAnsi="Times New Roman"/>
          <w:caps w:val="false"/>
          <w:smallCaps w:val="false"/>
          <w:sz w:val="20"/>
        </w:rPr>
        <w:t xml:space="preserve"> and </w:t>
      </w:r>
      <w:r>
        <w:rPr>
          <w:rFonts w:ascii="Times New Roman" w:hAnsi="Times New Roman"/>
          <w:caps w:val="false"/>
          <w:smallCaps w:val="false"/>
          <w:sz w:val="20"/>
          <w:u w:val="single"/>
        </w:rPr>
        <w:t>12.23</w:t>
      </w:r>
      <w:r>
        <w:rPr>
          <w:rFonts w:ascii="Times New Roman" w:hAnsi="Times New Roman"/>
          <w:caps w:val="false"/>
          <w:smallCaps w:val="false"/>
          <w:sz w:val="20"/>
        </w:rPr>
        <w:t xml:space="preserve"> shall remain operative and in full force and effect regardless of the expiration of the term of this Agreement, the consummation of the transactions contemplated hereby, the repayment of any of the Loans, the expiration of the Commitments, the invalidity or unenforceability of any term or provision of this Agreement or any other Loan Document or any investigation made by or on behalf of the Administrative Agent or any Lender. Until the date that is the second anniversary of the termination of this Agreement, the provisions of </w:t>
      </w:r>
      <w:r>
        <w:rPr>
          <w:rFonts w:ascii="Times New Roman" w:hAnsi="Times New Roman"/>
          <w:caps w:val="false"/>
          <w:smallCaps w:val="false"/>
          <w:sz w:val="20"/>
          <w:u w:val="single"/>
        </w:rPr>
        <w:t>Section 12.19</w:t>
      </w:r>
      <w:r>
        <w:rPr>
          <w:rFonts w:ascii="Times New Roman" w:hAnsi="Times New Roman"/>
          <w:caps w:val="false"/>
          <w:smallCaps w:val="false"/>
          <w:sz w:val="20"/>
        </w:rPr>
        <w:t xml:space="preserve"> shall remain operative and in full force and effect regardless of the expiration of the term of this Agreement, the consummation of the transactions contemplated hereby, the repayment of any of the Loans, the expiration of the Commitments or the invalidity or unenforceability of any term or provision of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12.24    </w:t>
      </w:r>
      <w:r>
        <w:rPr>
          <w:rFonts w:ascii="Times New Roman" w:hAnsi="Times New Roman"/>
          <w:caps w:val="false"/>
          <w:smallCaps w:val="false"/>
          <w:sz w:val="20"/>
          <w:u w:val="single"/>
        </w:rPr>
        <w:t>Judgment Currency.</w:t>
      </w:r>
      <w:r>
        <w:rPr>
          <w:rFonts w:ascii="Times New Roman" w:hAnsi="Times New Roman"/>
          <w:caps w:val="false"/>
          <w:smallCaps w:val="false"/>
          <w:sz w:val="20"/>
        </w:rPr>
        <w:t xml:space="preserve"> This is an international financial transaction in which the specification of a currency and payment in New York is of the essence. Dollars shall be the currency of account in the case of all payments pursuant to or arising under this Agreement or under any other Loan Document, and all such payments shall be made to the Administrative Agent's Accounts in New York in immediately available funds. To the fullest extent permitted by applicable law, the obligations of each Loan Party to the Secured Parties under this Agreement and under the other Loan Documents shall not be discharged by any amount paid in any other currency or in a place other than to the Administrative Agent's Accounts in New York to the extent that the amount so paid after conversion under this Agreement and transfer to New York does not yield the amount of Dollars in New York due under this Agreement and under the other Loan Documents. If, for the purposes of obtaining judgment in any court, it is necessary to convert a sum due hereunder in Dollars into another currency (the “</w:t>
      </w:r>
      <w:r>
        <w:rPr>
          <w:rFonts w:ascii="Times New Roman" w:hAnsi="Times New Roman"/>
          <w:caps w:val="false"/>
          <w:smallCaps w:val="false"/>
          <w:sz w:val="20"/>
          <w:u w:val="single"/>
        </w:rPr>
        <w:t>Other Currency</w:t>
      </w:r>
      <w:r>
        <w:rPr>
          <w:rFonts w:ascii="Times New Roman" w:hAnsi="Times New Roman"/>
          <w:caps w:val="false"/>
          <w:smallCaps w:val="false"/>
          <w:sz w:val="20"/>
        </w:rPr>
        <w:t>”), to the fullest extent permitted by applicable law, the rate of exchange used shall be that at which the Administrative Agent could, in accordance with normal procedures, purchase Dollars with the Other Currency on the Business Day preceding that on which final judgment is given. The obligation of each Loan Party in respect of any such sum due from it to the Secured Parties hereunder shall, notwithstanding any judgment in such Other Currency, be discharged only to the extent that, on the Business Day immediately following the date on which the Administrative Agent receives any sum adjudged to be so due in the Other Currency, the Administrative Agent may, in accordance with normal banking procedures, purchase Dollars with the Other Currency. If the Dollars so purchased are less than the sum originally due to the Secured Parties in Dollars, each Loan Party agrees, as a separate obligation and notwithstanding any such judgment, to indemnify the Secured Parties against such loss, and if the Dollars so purchased exceed the sum originally due to the Secured Parties in Dollars, the Secured Parties agrees to remit to the Loan Parties such excess.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12.25    </w:t>
      </w:r>
      <w:r>
        <w:rPr>
          <w:rFonts w:ascii="Times New Roman" w:hAnsi="Times New Roman"/>
          <w:caps w:val="false"/>
          <w:smallCaps w:val="false"/>
          <w:sz w:val="20"/>
          <w:u w:val="single"/>
        </w:rPr>
        <w:t>Contractual Recognition of Bail-in</w:t>
      </w:r>
      <w:r>
        <w:rPr>
          <w:rFonts w:ascii="Times New Roman" w:hAnsi="Times New Roman"/>
          <w:caps w:val="false"/>
          <w:smallCaps w:val="false"/>
          <w:sz w:val="20"/>
        </w:rPr>
        <w:t>. Notwithstanding any other term of any Loan Document or any other agreement, 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any Bail-In Action in relation to any such liability, including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a reduction, in full or in part, in the principal amount, or outstanding amount due (including any accrued but unpaid interest) in respect of any such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a conversion of all, or part of, any such liability into shares or other instruments of ownership that may be issued to, or conferred on, it;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a cancellation of any such liability;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 variation of any term of any Loan Document to the extent necessary to give effect to any Bail-In Action in relation to any such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12.26    </w:t>
      </w:r>
      <w:r>
        <w:rPr>
          <w:rFonts w:ascii="Times New Roman" w:hAnsi="Times New Roman"/>
          <w:caps w:val="false"/>
          <w:smallCaps w:val="false"/>
          <w:sz w:val="20"/>
          <w:u w:val="single"/>
        </w:rPr>
        <w:t>Headings</w:t>
      </w:r>
      <w:r>
        <w:rPr>
          <w:rFonts w:ascii="Times New Roman" w:hAnsi="Times New Roman"/>
          <w:caps w:val="false"/>
          <w:smallCaps w:val="false"/>
          <w:sz w:val="20"/>
        </w:rPr>
        <w:t>. Article and Section headings and the Table of Contents used herein are for convenience of reference only, are not part of this Agreement and are not to affect the construction of, or to be taken into consideration in interpreting,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12.27    </w:t>
      </w:r>
      <w:r>
        <w:rPr>
          <w:rFonts w:ascii="Times New Roman" w:hAnsi="Times New Roman"/>
          <w:caps w:val="false"/>
          <w:smallCaps w:val="false"/>
          <w:sz w:val="20"/>
          <w:u w:val="single"/>
        </w:rPr>
        <w:t>Lender Action</w:t>
      </w:r>
      <w:r>
        <w:rPr>
          <w:rFonts w:ascii="Times New Roman" w:hAnsi="Times New Roman"/>
          <w:caps w:val="false"/>
          <w:smallCaps w:val="false"/>
          <w:sz w:val="20"/>
        </w:rPr>
        <w:t>. Subject to the terms of the Agreement Among Lenders, each Lender agrees that it shall not take or institute any actions or proceedings, judicial 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unless expressly provided for herein or in any other Loan Document, without the prior written consent of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12.28    </w:t>
      </w:r>
      <w:r>
        <w:rPr>
          <w:rFonts w:ascii="Times New Roman" w:hAnsi="Times New Roman"/>
          <w:caps w:val="false"/>
          <w:smallCaps w:val="false"/>
          <w:sz w:val="20"/>
          <w:u w:val="single"/>
        </w:rPr>
        <w:t>No Fiduciary Duty</w:t>
      </w:r>
      <w:r>
        <w:rPr>
          <w:rFonts w:ascii="Times New Roman" w:hAnsi="Times New Roman"/>
          <w:caps w:val="false"/>
          <w:smallCaps w:val="false"/>
          <w:sz w:val="20"/>
        </w:rPr>
        <w:t>. The Agents, each Lender and their respective Affiliates (collectively, solely for purposes of this paragraph, the “</w:t>
      </w:r>
      <w:r>
        <w:rPr>
          <w:rFonts w:ascii="Times New Roman" w:hAnsi="Times New Roman"/>
          <w:caps w:val="false"/>
          <w:smallCaps w:val="false"/>
          <w:sz w:val="20"/>
          <w:u w:val="single"/>
        </w:rPr>
        <w:t>Lenders</w:t>
      </w:r>
      <w:r>
        <w:rPr>
          <w:rFonts w:ascii="Times New Roman" w:hAnsi="Times New Roman"/>
          <w:caps w:val="false"/>
          <w:smallCaps w:val="false"/>
          <w:sz w:val="20"/>
        </w:rPr>
        <w:t>”), may have economic interests that conflict with those of the Loan Parties, their stockholders and/or their Affiliates. Each Loan Party agrees that nothing in the Loan Documents or otherwise shall be deemed to create an advisory, fiduciary or agency relationship or fiduciary or other implied duty between any Agent, any Lender, on the one hand, and such Loan Party, its stockholders or its Affiliates, on the other. The Loan Parties acknowledge and agree that (i) the transactions contemplated by the Loan Documents (including the exercise of rights and remedies hereunder and thereunder) are arm’s-length commercial transactions between Lenders, on the one hand, and the Loan Parties, on the other, and (ii) in connection therewith and with the process leading thereto, (x) no Lender has assumed an advisory or fiduciary responsibility in favor of any Loan Party, its stockholders or its Affiliates with respect to the transactions contemplated hereby (or the exercise of rights or remedies with respect thereto) or the process leading thereto (irrespective of whether any Lender has advised, is currently advising or will advise any Loan Party, its stockholders or its Affiliates on other matters) or any other obligation to any Loan Party except the obligations expressly set forth in the Loan Documents and (y) each Lender is acting solely as principal and not as the agent or fiduciary of any Loan Party, its management, stockholders, creditors or any other Person. Each Loan Party acknowledges and agrees that it has consulted its own legal and financial advisors to the extent it deemed appropriate and that it is responsible for making its own independent judgment with respect to such transactions and the process leading thereto. Each Loan Party agrees that it shall not claim that any Lender has rendered advisory services of any nature or respect, or owes a fiduciary or similar duty to such Loan Party, in connection with such transaction or the process leading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[REMAINDER OF THIS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hereto have caused this Agreement to be executed by their respective officers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64"/>
        <w:gridCol w:w="645"/>
        <w:gridCol w:w="3866"/>
        <w:gridCol w:w="1130"/>
      </w:tblGrid>
      <w:tr>
        <w:trPr/>
        <w:tc>
          <w:tcPr>
            <w:tcW w:w="4564" w:type="dxa"/>
            <w:tcBorders/>
          </w:tcPr>
          <w:p>
            <w:pPr>
              <w:pStyle w:val="TableContents"/>
              <w:bidi w:val="0"/>
              <w:spacing w:before="0" w:after="0"/>
              <w:ind w:left="0" w:right="0" w:hanging="0"/>
              <w:jc w:val="left"/>
              <w:rPr/>
            </w:pPr>
            <w:r>
              <w:rPr/>
              <w:t> </w:t>
            </w:r>
          </w:p>
        </w:tc>
        <w:tc>
          <w:tcPr>
            <w:tcW w:w="4511"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BORROWERS</w:t>
            </w:r>
            <w:r>
              <w:rPr>
                <w:rFonts w:ascii="Times New Roman;Times;serif" w:hAnsi="Times New Roman;Times;serif"/>
                <w:sz w:val="20"/>
              </w:rPr>
              <w:t>:</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ACCURAY INCORPORATED </w:t>
            </w:r>
          </w:p>
        </w:tc>
        <w:tc>
          <w:tcPr>
            <w:tcW w:w="1130" w:type="dxa"/>
            <w:tcBorders/>
          </w:tcPr>
          <w:p>
            <w:pPr>
              <w:pStyle w:val="TableContents"/>
              <w:bidi w:val="0"/>
              <w:spacing w:before="0" w:after="0"/>
              <w:ind w:left="0" w:right="0" w:hanging="0"/>
              <w:jc w:val="left"/>
              <w:rPr/>
            </w:pPr>
            <w:r>
              <w:rPr/>
              <w:t> </w:t>
            </w:r>
          </w:p>
        </w:tc>
      </w:tr>
      <w:tr>
        <w:trPr/>
        <w:tc>
          <w:tcPr>
            <w:tcW w:w="4564" w:type="dxa"/>
            <w:tcBorders/>
          </w:tcPr>
          <w:p>
            <w:pPr>
              <w:pStyle w:val="TableContents"/>
              <w:bidi w:val="0"/>
              <w:spacing w:before="0" w:after="0"/>
              <w:ind w:left="0" w:right="0" w:hanging="0"/>
              <w:jc w:val="left"/>
              <w:rPr/>
            </w:pPr>
            <w:r>
              <w:rPr/>
              <w:t> </w:t>
            </w:r>
          </w:p>
        </w:tc>
        <w:tc>
          <w:tcPr>
            <w:tcW w:w="645" w:type="dxa"/>
            <w:tcBorders/>
          </w:tcPr>
          <w:p>
            <w:pPr>
              <w:pStyle w:val="TableContents"/>
              <w:bidi w:val="0"/>
              <w:spacing w:before="0" w:after="0"/>
              <w:ind w:left="0" w:right="0" w:hanging="0"/>
              <w:jc w:val="left"/>
              <w:rPr/>
            </w:pPr>
            <w:r>
              <w:rPr/>
              <w:t> </w:t>
            </w:r>
          </w:p>
        </w:tc>
        <w:tc>
          <w:tcPr>
            <w:tcW w:w="3866"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left"/>
              <w:rPr/>
            </w:pPr>
            <w:r>
              <w:rPr/>
              <w:t> </w:t>
            </w:r>
          </w:p>
        </w:tc>
      </w:tr>
      <w:tr>
        <w:trPr/>
        <w:tc>
          <w:tcPr>
            <w:tcW w:w="4564" w:type="dxa"/>
            <w:tcBorders/>
          </w:tcPr>
          <w:p>
            <w:pPr>
              <w:pStyle w:val="TableContents"/>
              <w:bidi w:val="0"/>
              <w:spacing w:before="0" w:after="0"/>
              <w:ind w:left="0" w:right="0" w:hanging="0"/>
              <w:jc w:val="left"/>
              <w:rPr/>
            </w:pPr>
            <w:r>
              <w:rPr/>
              <w:t> </w:t>
            </w:r>
          </w:p>
        </w:tc>
        <w:tc>
          <w:tcPr>
            <w:tcW w:w="645" w:type="dxa"/>
            <w:tcBorders/>
          </w:tcPr>
          <w:p>
            <w:pPr>
              <w:pStyle w:val="TableContents"/>
              <w:bidi w:val="0"/>
              <w:spacing w:before="0" w:after="0"/>
              <w:ind w:left="0" w:right="0" w:hanging="0"/>
              <w:jc w:val="left"/>
              <w:rPr/>
            </w:pPr>
            <w:r>
              <w:rPr/>
              <w:t> </w:t>
            </w:r>
          </w:p>
        </w:tc>
        <w:tc>
          <w:tcPr>
            <w:tcW w:w="3866" w:type="dxa"/>
            <w:tcBorders/>
            <w:vAlign w:val="bottom"/>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left"/>
              <w:rPr/>
            </w:pPr>
            <w:r>
              <w:rPr/>
              <w:t> </w:t>
            </w:r>
          </w:p>
        </w:tc>
      </w:tr>
      <w:tr>
        <w:trPr/>
        <w:tc>
          <w:tcPr>
            <w:tcW w:w="4564" w:type="dxa"/>
            <w:tcBorders/>
          </w:tcPr>
          <w:p>
            <w:pPr>
              <w:pStyle w:val="TableContents"/>
              <w:bidi w:val="0"/>
              <w:spacing w:before="0" w:after="0"/>
              <w:ind w:left="0" w:right="0" w:hanging="0"/>
              <w:jc w:val="left"/>
              <w:rPr/>
            </w:pPr>
            <w:r>
              <w:rPr/>
              <w:t> </w:t>
            </w:r>
          </w:p>
        </w:tc>
        <w:tc>
          <w:tcPr>
            <w:tcW w:w="64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866" w:type="dxa"/>
            <w:tcBorders>
              <w:bottom w:val="single" w:sz="2" w:space="0" w:color="000000"/>
            </w:tcBorders>
            <w:tcMar>
              <w:bottom w:w="28" w:type="dxa"/>
            </w:tcMar>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left"/>
              <w:rPr/>
            </w:pPr>
            <w:r>
              <w:rPr/>
              <w:t> </w:t>
            </w:r>
          </w:p>
        </w:tc>
      </w:tr>
      <w:tr>
        <w:trPr/>
        <w:tc>
          <w:tcPr>
            <w:tcW w:w="4564" w:type="dxa"/>
            <w:tcBorders/>
          </w:tcPr>
          <w:p>
            <w:pPr>
              <w:pStyle w:val="TableContents"/>
              <w:bidi w:val="0"/>
              <w:spacing w:before="0" w:after="0"/>
              <w:ind w:left="0" w:right="0" w:hanging="0"/>
              <w:jc w:val="left"/>
              <w:rPr/>
            </w:pPr>
            <w:r>
              <w:rPr/>
              <w:t> </w:t>
            </w:r>
          </w:p>
        </w:tc>
        <w:tc>
          <w:tcPr>
            <w:tcW w:w="645" w:type="dxa"/>
            <w:tcBorders/>
          </w:tcPr>
          <w:p>
            <w:pPr>
              <w:pStyle w:val="TableContents"/>
              <w:bidi w:val="0"/>
              <w:spacing w:before="0" w:after="0"/>
              <w:ind w:left="0" w:right="0" w:hanging="0"/>
              <w:jc w:val="left"/>
              <w:rPr/>
            </w:pPr>
            <w:r>
              <w:rPr/>
              <w:t> </w:t>
            </w:r>
          </w:p>
        </w:tc>
        <w:tc>
          <w:tcPr>
            <w:tcW w:w="386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1130" w:type="dxa"/>
            <w:tcBorders/>
          </w:tcPr>
          <w:p>
            <w:pPr>
              <w:pStyle w:val="TableContents"/>
              <w:bidi w:val="0"/>
              <w:spacing w:before="0" w:after="0"/>
              <w:ind w:left="0" w:right="0" w:hanging="0"/>
              <w:jc w:val="left"/>
              <w:rPr/>
            </w:pPr>
            <w:r>
              <w:rPr/>
              <w:t> </w:t>
            </w:r>
          </w:p>
        </w:tc>
      </w:tr>
      <w:tr>
        <w:trPr/>
        <w:tc>
          <w:tcPr>
            <w:tcW w:w="4564" w:type="dxa"/>
            <w:tcBorders/>
          </w:tcPr>
          <w:p>
            <w:pPr>
              <w:pStyle w:val="TableContents"/>
              <w:bidi w:val="0"/>
              <w:spacing w:before="0" w:after="0"/>
              <w:ind w:left="0" w:right="0" w:hanging="0"/>
              <w:jc w:val="left"/>
              <w:rPr/>
            </w:pPr>
            <w:r>
              <w:rPr/>
              <w:t> </w:t>
            </w:r>
          </w:p>
        </w:tc>
        <w:tc>
          <w:tcPr>
            <w:tcW w:w="645" w:type="dxa"/>
            <w:tcBorders/>
          </w:tcPr>
          <w:p>
            <w:pPr>
              <w:pStyle w:val="TableContents"/>
              <w:bidi w:val="0"/>
              <w:spacing w:before="0" w:after="0"/>
              <w:ind w:left="0" w:right="0" w:hanging="0"/>
              <w:jc w:val="left"/>
              <w:rPr/>
            </w:pPr>
            <w:r>
              <w:rPr/>
              <w:t> </w:t>
            </w:r>
          </w:p>
        </w:tc>
        <w:tc>
          <w:tcPr>
            <w:tcW w:w="386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c>
          <w:tcPr>
            <w:tcW w:w="1130" w:type="dxa"/>
            <w:tcBorders/>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[Financing Agreement 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93"/>
        <w:gridCol w:w="691"/>
        <w:gridCol w:w="3906"/>
        <w:gridCol w:w="1115"/>
      </w:tblGrid>
      <w:tr>
        <w:trPr/>
        <w:tc>
          <w:tcPr>
            <w:tcW w:w="4493" w:type="dxa"/>
            <w:tcBorders/>
          </w:tcPr>
          <w:p>
            <w:pPr>
              <w:pStyle w:val="TableContents"/>
              <w:bidi w:val="0"/>
              <w:spacing w:before="0" w:after="0"/>
              <w:ind w:left="0" w:right="0" w:hanging="0"/>
              <w:jc w:val="left"/>
              <w:rPr/>
            </w:pPr>
            <w:r>
              <w:rPr/>
              <w:t> </w:t>
            </w:r>
          </w:p>
        </w:tc>
        <w:tc>
          <w:tcPr>
            <w:tcW w:w="4597" w:type="dxa"/>
            <w:gridSpan w:val="2"/>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GUARANTORS</w:t>
            </w:r>
            <w:r>
              <w:rPr>
                <w:rFonts w:ascii="Times New Roman" w:hAnsi="Times New Roman"/>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INTERNATIONAL SÀRL</w:t>
            </w:r>
          </w:p>
        </w:tc>
        <w:tc>
          <w:tcPr>
            <w:tcW w:w="1115" w:type="dxa"/>
            <w:tcBorders/>
          </w:tcPr>
          <w:p>
            <w:pPr>
              <w:pStyle w:val="TableContents"/>
              <w:bidi w:val="0"/>
              <w:spacing w:before="0" w:after="0"/>
              <w:ind w:left="0" w:right="0" w:hanging="0"/>
              <w:jc w:val="left"/>
              <w:rPr/>
            </w:pPr>
            <w:r>
              <w:rPr/>
              <w:t> </w:t>
            </w:r>
          </w:p>
        </w:tc>
      </w:tr>
      <w:tr>
        <w:trPr/>
        <w:tc>
          <w:tcPr>
            <w:tcW w:w="4493" w:type="dxa"/>
            <w:tcBorders/>
          </w:tcPr>
          <w:p>
            <w:pPr>
              <w:pStyle w:val="TableContents"/>
              <w:bidi w:val="0"/>
              <w:spacing w:before="0" w:after="0"/>
              <w:ind w:left="0" w:right="0" w:hanging="0"/>
              <w:jc w:val="left"/>
              <w:rPr/>
            </w:pPr>
            <w:r>
              <w:rPr/>
              <w:t> </w:t>
            </w:r>
          </w:p>
        </w:tc>
        <w:tc>
          <w:tcPr>
            <w:tcW w:w="691" w:type="dxa"/>
            <w:tcBorders/>
          </w:tcPr>
          <w:p>
            <w:pPr>
              <w:pStyle w:val="TableContents"/>
              <w:bidi w:val="0"/>
              <w:spacing w:before="0" w:after="0"/>
              <w:ind w:left="0" w:right="0" w:hanging="0"/>
              <w:jc w:val="left"/>
              <w:rPr/>
            </w:pPr>
            <w:r>
              <w:rPr/>
              <w:t> </w:t>
            </w:r>
          </w:p>
        </w:tc>
        <w:tc>
          <w:tcPr>
            <w:tcW w:w="3906" w:type="dxa"/>
            <w:tcBorders/>
          </w:tcPr>
          <w:p>
            <w:pPr>
              <w:pStyle w:val="TableContents"/>
              <w:bidi w:val="0"/>
              <w:spacing w:before="0" w:after="0"/>
              <w:ind w:left="0" w:right="0" w:hanging="0"/>
              <w:jc w:val="left"/>
              <w:rPr/>
            </w:pPr>
            <w:r>
              <w:rPr/>
              <w:t> </w:t>
            </w:r>
          </w:p>
        </w:tc>
        <w:tc>
          <w:tcPr>
            <w:tcW w:w="1115" w:type="dxa"/>
            <w:tcBorders/>
          </w:tcPr>
          <w:p>
            <w:pPr>
              <w:pStyle w:val="TableContents"/>
              <w:bidi w:val="0"/>
              <w:spacing w:before="0" w:after="0"/>
              <w:ind w:left="0" w:right="0" w:hanging="0"/>
              <w:jc w:val="left"/>
              <w:rPr/>
            </w:pPr>
            <w:r>
              <w:rPr/>
              <w:t> </w:t>
            </w:r>
          </w:p>
        </w:tc>
      </w:tr>
      <w:tr>
        <w:trPr/>
        <w:tc>
          <w:tcPr>
            <w:tcW w:w="4493" w:type="dxa"/>
            <w:tcBorders/>
          </w:tcPr>
          <w:p>
            <w:pPr>
              <w:pStyle w:val="TableContents"/>
              <w:bidi w:val="0"/>
              <w:spacing w:before="0" w:after="0"/>
              <w:ind w:left="0" w:right="0" w:hanging="0"/>
              <w:jc w:val="left"/>
              <w:rPr/>
            </w:pPr>
            <w:r>
              <w:rPr/>
              <w:t> </w:t>
            </w:r>
          </w:p>
        </w:tc>
        <w:tc>
          <w:tcPr>
            <w:tcW w:w="691" w:type="dxa"/>
            <w:tcBorders/>
          </w:tcPr>
          <w:p>
            <w:pPr>
              <w:pStyle w:val="TableContents"/>
              <w:bidi w:val="0"/>
              <w:spacing w:before="0" w:after="0"/>
              <w:ind w:left="0" w:right="0" w:hanging="0"/>
              <w:jc w:val="left"/>
              <w:rPr/>
            </w:pPr>
            <w:r>
              <w:rPr/>
              <w:t> </w:t>
            </w:r>
          </w:p>
        </w:tc>
        <w:tc>
          <w:tcPr>
            <w:tcW w:w="3906" w:type="dxa"/>
            <w:tcBorders/>
            <w:vAlign w:val="bottom"/>
          </w:tcPr>
          <w:p>
            <w:pPr>
              <w:pStyle w:val="TableContents"/>
              <w:bidi w:val="0"/>
              <w:spacing w:before="0" w:after="0"/>
              <w:ind w:left="0" w:right="0" w:hanging="0"/>
              <w:jc w:val="left"/>
              <w:rPr/>
            </w:pPr>
            <w:r>
              <w:rPr/>
              <w:t> </w:t>
            </w:r>
          </w:p>
        </w:tc>
        <w:tc>
          <w:tcPr>
            <w:tcW w:w="1115" w:type="dxa"/>
            <w:tcBorders/>
          </w:tcPr>
          <w:p>
            <w:pPr>
              <w:pStyle w:val="TableContents"/>
              <w:bidi w:val="0"/>
              <w:spacing w:before="0" w:after="0"/>
              <w:ind w:left="0" w:right="0" w:hanging="0"/>
              <w:jc w:val="left"/>
              <w:rPr/>
            </w:pPr>
            <w:r>
              <w:rPr/>
              <w:t> </w:t>
            </w:r>
          </w:p>
        </w:tc>
      </w:tr>
      <w:tr>
        <w:trPr/>
        <w:tc>
          <w:tcPr>
            <w:tcW w:w="4493" w:type="dxa"/>
            <w:tcBorders/>
          </w:tcPr>
          <w:p>
            <w:pPr>
              <w:pStyle w:val="TableContents"/>
              <w:bidi w:val="0"/>
              <w:spacing w:before="0" w:after="0"/>
              <w:ind w:left="0" w:right="0" w:hanging="0"/>
              <w:jc w:val="left"/>
              <w:rPr/>
            </w:pPr>
            <w:r>
              <w:rPr/>
              <w:t> </w:t>
            </w:r>
          </w:p>
        </w:tc>
        <w:tc>
          <w:tcPr>
            <w:tcW w:w="69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906" w:type="dxa"/>
            <w:tcBorders>
              <w:bottom w:val="single" w:sz="2" w:space="0" w:color="000000"/>
            </w:tcBorders>
            <w:tcMar>
              <w:bottom w:w="28" w:type="dxa"/>
            </w:tcMar>
          </w:tcPr>
          <w:p>
            <w:pPr>
              <w:pStyle w:val="TableContents"/>
              <w:bidi w:val="0"/>
              <w:spacing w:before="0" w:after="0"/>
              <w:ind w:left="0" w:right="0" w:hanging="0"/>
              <w:jc w:val="left"/>
              <w:rPr/>
            </w:pPr>
            <w:r>
              <w:rPr/>
              <w:t> </w:t>
            </w:r>
          </w:p>
        </w:tc>
        <w:tc>
          <w:tcPr>
            <w:tcW w:w="1115" w:type="dxa"/>
            <w:tcBorders/>
          </w:tcPr>
          <w:p>
            <w:pPr>
              <w:pStyle w:val="TableContents"/>
              <w:bidi w:val="0"/>
              <w:spacing w:before="0" w:after="0"/>
              <w:ind w:left="0" w:right="0" w:hanging="0"/>
              <w:jc w:val="left"/>
              <w:rPr/>
            </w:pPr>
            <w:r>
              <w:rPr/>
              <w:t> </w:t>
            </w:r>
          </w:p>
        </w:tc>
      </w:tr>
      <w:tr>
        <w:trPr/>
        <w:tc>
          <w:tcPr>
            <w:tcW w:w="4493" w:type="dxa"/>
            <w:tcBorders/>
          </w:tcPr>
          <w:p>
            <w:pPr>
              <w:pStyle w:val="TableContents"/>
              <w:bidi w:val="0"/>
              <w:spacing w:before="0" w:after="0"/>
              <w:ind w:left="0" w:right="0" w:hanging="0"/>
              <w:jc w:val="left"/>
              <w:rPr/>
            </w:pPr>
            <w:r>
              <w:rPr/>
              <w:t> </w:t>
            </w:r>
          </w:p>
        </w:tc>
        <w:tc>
          <w:tcPr>
            <w:tcW w:w="691" w:type="dxa"/>
            <w:tcBorders/>
          </w:tcPr>
          <w:p>
            <w:pPr>
              <w:pStyle w:val="TableContents"/>
              <w:bidi w:val="0"/>
              <w:spacing w:before="0" w:after="0"/>
              <w:ind w:left="0" w:right="0" w:hanging="0"/>
              <w:jc w:val="left"/>
              <w:rPr/>
            </w:pPr>
            <w:r>
              <w:rPr/>
              <w:t> </w:t>
            </w:r>
          </w:p>
        </w:tc>
        <w:tc>
          <w:tcPr>
            <w:tcW w:w="390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1115" w:type="dxa"/>
            <w:tcBorders/>
          </w:tcPr>
          <w:p>
            <w:pPr>
              <w:pStyle w:val="TableContents"/>
              <w:bidi w:val="0"/>
              <w:spacing w:before="0" w:after="0"/>
              <w:ind w:left="0" w:right="0" w:hanging="0"/>
              <w:jc w:val="left"/>
              <w:rPr/>
            </w:pPr>
            <w:r>
              <w:rPr/>
              <w:t> </w:t>
            </w:r>
          </w:p>
        </w:tc>
      </w:tr>
      <w:tr>
        <w:trPr/>
        <w:tc>
          <w:tcPr>
            <w:tcW w:w="4493" w:type="dxa"/>
            <w:tcBorders/>
          </w:tcPr>
          <w:p>
            <w:pPr>
              <w:pStyle w:val="TableContents"/>
              <w:bidi w:val="0"/>
              <w:spacing w:before="0" w:after="0"/>
              <w:ind w:left="0" w:right="0" w:hanging="0"/>
              <w:jc w:val="left"/>
              <w:rPr/>
            </w:pPr>
            <w:r>
              <w:rPr/>
              <w:t> </w:t>
            </w:r>
          </w:p>
        </w:tc>
        <w:tc>
          <w:tcPr>
            <w:tcW w:w="691" w:type="dxa"/>
            <w:tcBorders/>
          </w:tcPr>
          <w:p>
            <w:pPr>
              <w:pStyle w:val="TableContents"/>
              <w:bidi w:val="0"/>
              <w:spacing w:before="0" w:after="0"/>
              <w:ind w:left="0" w:right="0" w:hanging="0"/>
              <w:jc w:val="left"/>
              <w:rPr/>
            </w:pPr>
            <w:r>
              <w:rPr/>
              <w:t> </w:t>
            </w:r>
          </w:p>
        </w:tc>
        <w:tc>
          <w:tcPr>
            <w:tcW w:w="390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c>
          <w:tcPr>
            <w:tcW w:w="1115" w:type="dxa"/>
            <w:tcBorders/>
          </w:tcPr>
          <w:p>
            <w:pPr>
              <w:pStyle w:val="TableContents"/>
              <w:bidi w:val="0"/>
              <w:spacing w:before="0" w:after="0"/>
              <w:ind w:left="0" w:right="0" w:hanging="0"/>
              <w:jc w:val="left"/>
              <w:rPr/>
            </w:pPr>
            <w:r>
              <w:rPr/>
              <w:t> </w:t>
            </w:r>
          </w:p>
        </w:tc>
      </w:tr>
    </w:tbl>
    <w:p>
      <w:pPr>
        <w:pStyle w:val="TextBody"/>
        <w:bidi w:val="0"/>
        <w:spacing w:before="0" w:after="0"/>
        <w:ind w:left="4780" w:right="0" w:hanging="4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69"/>
        <w:gridCol w:w="515"/>
        <w:gridCol w:w="3744"/>
        <w:gridCol w:w="1177"/>
      </w:tblGrid>
      <w:tr>
        <w:trPr/>
        <w:tc>
          <w:tcPr>
            <w:tcW w:w="4769" w:type="dxa"/>
            <w:tcBorders/>
          </w:tcPr>
          <w:p>
            <w:pPr>
              <w:pStyle w:val="TableContents"/>
              <w:bidi w:val="0"/>
              <w:spacing w:before="0" w:after="0"/>
              <w:ind w:left="0" w:right="0" w:hanging="0"/>
              <w:jc w:val="left"/>
              <w:rPr/>
            </w:pPr>
            <w:r>
              <w:rPr/>
              <w:t> </w:t>
            </w:r>
          </w:p>
        </w:tc>
        <w:tc>
          <w:tcPr>
            <w:tcW w:w="4259"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ACCURAY ASIA LIMITED </w:t>
            </w:r>
          </w:p>
        </w:tc>
        <w:tc>
          <w:tcPr>
            <w:tcW w:w="1177" w:type="dxa"/>
            <w:tcBorders/>
          </w:tcPr>
          <w:p>
            <w:pPr>
              <w:pStyle w:val="TableContents"/>
              <w:bidi w:val="0"/>
              <w:spacing w:before="0" w:after="0"/>
              <w:ind w:left="0" w:right="0" w:hanging="0"/>
              <w:jc w:val="left"/>
              <w:rPr/>
            </w:pPr>
            <w:r>
              <w:rPr/>
              <w:t> </w:t>
            </w:r>
          </w:p>
        </w:tc>
      </w:tr>
      <w:tr>
        <w:trPr/>
        <w:tc>
          <w:tcPr>
            <w:tcW w:w="4769" w:type="dxa"/>
            <w:tcBorders/>
          </w:tcPr>
          <w:p>
            <w:pPr>
              <w:pStyle w:val="TableContents"/>
              <w:bidi w:val="0"/>
              <w:spacing w:before="0" w:after="0"/>
              <w:ind w:left="0" w:right="0" w:hanging="0"/>
              <w:jc w:val="left"/>
              <w:rPr/>
            </w:pPr>
            <w:r>
              <w:rPr/>
              <w:t> </w:t>
            </w:r>
          </w:p>
        </w:tc>
        <w:tc>
          <w:tcPr>
            <w:tcW w:w="515" w:type="dxa"/>
            <w:tcBorders/>
          </w:tcPr>
          <w:p>
            <w:pPr>
              <w:pStyle w:val="TableContents"/>
              <w:bidi w:val="0"/>
              <w:spacing w:before="0" w:after="0"/>
              <w:ind w:left="0" w:right="0" w:hanging="0"/>
              <w:jc w:val="left"/>
              <w:rPr/>
            </w:pPr>
            <w:r>
              <w:rPr/>
              <w:t> </w:t>
            </w:r>
          </w:p>
        </w:tc>
        <w:tc>
          <w:tcPr>
            <w:tcW w:w="3744" w:type="dxa"/>
            <w:tcBorders/>
          </w:tcPr>
          <w:p>
            <w:pPr>
              <w:pStyle w:val="TableContents"/>
              <w:bidi w:val="0"/>
              <w:spacing w:before="0" w:after="0"/>
              <w:ind w:left="0" w:right="0" w:hanging="0"/>
              <w:jc w:val="left"/>
              <w:rPr/>
            </w:pPr>
            <w:r>
              <w:rPr/>
              <w:t> </w:t>
            </w:r>
          </w:p>
        </w:tc>
        <w:tc>
          <w:tcPr>
            <w:tcW w:w="1177" w:type="dxa"/>
            <w:tcBorders/>
          </w:tcPr>
          <w:p>
            <w:pPr>
              <w:pStyle w:val="TableContents"/>
              <w:bidi w:val="0"/>
              <w:spacing w:before="0" w:after="0"/>
              <w:ind w:left="0" w:right="0" w:hanging="0"/>
              <w:jc w:val="left"/>
              <w:rPr/>
            </w:pPr>
            <w:r>
              <w:rPr/>
              <w:t> </w:t>
            </w:r>
          </w:p>
        </w:tc>
      </w:tr>
      <w:tr>
        <w:trPr/>
        <w:tc>
          <w:tcPr>
            <w:tcW w:w="4769" w:type="dxa"/>
            <w:tcBorders/>
          </w:tcPr>
          <w:p>
            <w:pPr>
              <w:pStyle w:val="TableContents"/>
              <w:bidi w:val="0"/>
              <w:spacing w:before="0" w:after="0"/>
              <w:ind w:left="0" w:right="0" w:hanging="0"/>
              <w:jc w:val="left"/>
              <w:rPr/>
            </w:pPr>
            <w:r>
              <w:rPr/>
              <w:t> </w:t>
            </w:r>
          </w:p>
        </w:tc>
        <w:tc>
          <w:tcPr>
            <w:tcW w:w="515" w:type="dxa"/>
            <w:tcBorders/>
          </w:tcPr>
          <w:p>
            <w:pPr>
              <w:pStyle w:val="TableContents"/>
              <w:bidi w:val="0"/>
              <w:spacing w:before="0" w:after="0"/>
              <w:ind w:left="0" w:right="0" w:hanging="0"/>
              <w:jc w:val="left"/>
              <w:rPr/>
            </w:pPr>
            <w:r>
              <w:rPr/>
              <w:t> </w:t>
            </w:r>
          </w:p>
        </w:tc>
        <w:tc>
          <w:tcPr>
            <w:tcW w:w="3744" w:type="dxa"/>
            <w:tcBorders/>
            <w:vAlign w:val="bottom"/>
          </w:tcPr>
          <w:p>
            <w:pPr>
              <w:pStyle w:val="TableContents"/>
              <w:bidi w:val="0"/>
              <w:spacing w:before="0" w:after="0"/>
              <w:ind w:left="0" w:right="0" w:hanging="0"/>
              <w:jc w:val="left"/>
              <w:rPr/>
            </w:pPr>
            <w:r>
              <w:rPr/>
              <w:t> </w:t>
            </w:r>
          </w:p>
        </w:tc>
        <w:tc>
          <w:tcPr>
            <w:tcW w:w="1177" w:type="dxa"/>
            <w:tcBorders/>
          </w:tcPr>
          <w:p>
            <w:pPr>
              <w:pStyle w:val="TableContents"/>
              <w:bidi w:val="0"/>
              <w:spacing w:before="0" w:after="0"/>
              <w:ind w:left="0" w:right="0" w:hanging="0"/>
              <w:jc w:val="left"/>
              <w:rPr/>
            </w:pPr>
            <w:r>
              <w:rPr/>
              <w:t> </w:t>
            </w:r>
          </w:p>
        </w:tc>
      </w:tr>
      <w:tr>
        <w:trPr/>
        <w:tc>
          <w:tcPr>
            <w:tcW w:w="4769" w:type="dxa"/>
            <w:tcBorders/>
          </w:tcPr>
          <w:p>
            <w:pPr>
              <w:pStyle w:val="TableContents"/>
              <w:bidi w:val="0"/>
              <w:spacing w:before="0" w:after="0"/>
              <w:ind w:left="0" w:right="0" w:hanging="0"/>
              <w:jc w:val="left"/>
              <w:rPr/>
            </w:pPr>
            <w:r>
              <w:rPr/>
              <w:t> </w:t>
            </w:r>
          </w:p>
        </w:tc>
        <w:tc>
          <w:tcPr>
            <w:tcW w:w="51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44" w:type="dxa"/>
            <w:tcBorders>
              <w:bottom w:val="single" w:sz="2" w:space="0" w:color="000000"/>
            </w:tcBorders>
            <w:tcMar>
              <w:bottom w:w="28" w:type="dxa"/>
            </w:tcMar>
          </w:tcPr>
          <w:p>
            <w:pPr>
              <w:pStyle w:val="TableContents"/>
              <w:bidi w:val="0"/>
              <w:spacing w:before="0" w:after="0"/>
              <w:ind w:left="0" w:right="0" w:hanging="0"/>
              <w:jc w:val="left"/>
              <w:rPr/>
            </w:pPr>
            <w:r>
              <w:rPr/>
              <w:t> </w:t>
            </w:r>
          </w:p>
        </w:tc>
        <w:tc>
          <w:tcPr>
            <w:tcW w:w="1177" w:type="dxa"/>
            <w:tcBorders/>
          </w:tcPr>
          <w:p>
            <w:pPr>
              <w:pStyle w:val="TableContents"/>
              <w:bidi w:val="0"/>
              <w:spacing w:before="0" w:after="0"/>
              <w:ind w:left="0" w:right="0" w:hanging="0"/>
              <w:jc w:val="left"/>
              <w:rPr/>
            </w:pPr>
            <w:r>
              <w:rPr/>
              <w:t> </w:t>
            </w:r>
          </w:p>
        </w:tc>
      </w:tr>
      <w:tr>
        <w:trPr/>
        <w:tc>
          <w:tcPr>
            <w:tcW w:w="4769" w:type="dxa"/>
            <w:tcBorders/>
          </w:tcPr>
          <w:p>
            <w:pPr>
              <w:pStyle w:val="TableContents"/>
              <w:bidi w:val="0"/>
              <w:spacing w:before="0" w:after="0"/>
              <w:ind w:left="0" w:right="0" w:hanging="0"/>
              <w:jc w:val="left"/>
              <w:rPr/>
            </w:pPr>
            <w:r>
              <w:rPr/>
              <w:t> </w:t>
            </w:r>
          </w:p>
        </w:tc>
        <w:tc>
          <w:tcPr>
            <w:tcW w:w="515" w:type="dxa"/>
            <w:tcBorders/>
          </w:tcPr>
          <w:p>
            <w:pPr>
              <w:pStyle w:val="TableContents"/>
              <w:bidi w:val="0"/>
              <w:spacing w:before="0" w:after="0"/>
              <w:ind w:left="0" w:right="0" w:hanging="0"/>
              <w:jc w:val="left"/>
              <w:rPr/>
            </w:pPr>
            <w:r>
              <w:rPr/>
              <w:t> </w:t>
            </w:r>
          </w:p>
        </w:tc>
        <w:tc>
          <w:tcPr>
            <w:tcW w:w="374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1177" w:type="dxa"/>
            <w:tcBorders/>
          </w:tcPr>
          <w:p>
            <w:pPr>
              <w:pStyle w:val="TableContents"/>
              <w:bidi w:val="0"/>
              <w:spacing w:before="0" w:after="0"/>
              <w:ind w:left="0" w:right="0" w:hanging="0"/>
              <w:jc w:val="left"/>
              <w:rPr/>
            </w:pPr>
            <w:r>
              <w:rPr/>
              <w:t> </w:t>
            </w:r>
          </w:p>
        </w:tc>
      </w:tr>
      <w:tr>
        <w:trPr/>
        <w:tc>
          <w:tcPr>
            <w:tcW w:w="4769" w:type="dxa"/>
            <w:tcBorders/>
          </w:tcPr>
          <w:p>
            <w:pPr>
              <w:pStyle w:val="TableContents"/>
              <w:bidi w:val="0"/>
              <w:spacing w:before="0" w:after="0"/>
              <w:ind w:left="0" w:right="0" w:hanging="0"/>
              <w:jc w:val="left"/>
              <w:rPr/>
            </w:pPr>
            <w:r>
              <w:rPr/>
              <w:t> </w:t>
            </w:r>
          </w:p>
        </w:tc>
        <w:tc>
          <w:tcPr>
            <w:tcW w:w="515" w:type="dxa"/>
            <w:tcBorders/>
          </w:tcPr>
          <w:p>
            <w:pPr>
              <w:pStyle w:val="TableContents"/>
              <w:bidi w:val="0"/>
              <w:spacing w:before="0" w:after="0"/>
              <w:ind w:left="0" w:right="0" w:hanging="0"/>
              <w:jc w:val="left"/>
              <w:rPr/>
            </w:pPr>
            <w:r>
              <w:rPr/>
              <w:t> </w:t>
            </w:r>
          </w:p>
        </w:tc>
        <w:tc>
          <w:tcPr>
            <w:tcW w:w="374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c>
          <w:tcPr>
            <w:tcW w:w="1177"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89"/>
        <w:gridCol w:w="502"/>
        <w:gridCol w:w="3733"/>
        <w:gridCol w:w="1181"/>
      </w:tblGrid>
      <w:tr>
        <w:trPr/>
        <w:tc>
          <w:tcPr>
            <w:tcW w:w="4789" w:type="dxa"/>
            <w:tcBorders/>
          </w:tcPr>
          <w:p>
            <w:pPr>
              <w:pStyle w:val="TableContents"/>
              <w:bidi w:val="0"/>
              <w:spacing w:before="0" w:after="0"/>
              <w:ind w:left="0" w:right="0" w:hanging="0"/>
              <w:jc w:val="left"/>
              <w:rPr/>
            </w:pPr>
            <w:r>
              <w:rPr/>
              <w:t> </w:t>
            </w:r>
          </w:p>
        </w:tc>
        <w:tc>
          <w:tcPr>
            <w:tcW w:w="4235"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ACCURAY JAPAN K.K. </w:t>
            </w:r>
          </w:p>
        </w:tc>
        <w:tc>
          <w:tcPr>
            <w:tcW w:w="1181" w:type="dxa"/>
            <w:tcBorders/>
          </w:tcPr>
          <w:p>
            <w:pPr>
              <w:pStyle w:val="TableContents"/>
              <w:bidi w:val="0"/>
              <w:spacing w:before="0" w:after="0"/>
              <w:ind w:left="0" w:right="0" w:hanging="0"/>
              <w:jc w:val="left"/>
              <w:rPr/>
            </w:pPr>
            <w:r>
              <w:rPr/>
              <w:t> </w:t>
            </w:r>
          </w:p>
        </w:tc>
      </w:tr>
      <w:tr>
        <w:trPr/>
        <w:tc>
          <w:tcPr>
            <w:tcW w:w="4789" w:type="dxa"/>
            <w:tcBorders/>
          </w:tcPr>
          <w:p>
            <w:pPr>
              <w:pStyle w:val="TableContents"/>
              <w:bidi w:val="0"/>
              <w:spacing w:before="0" w:after="0"/>
              <w:ind w:left="0" w:right="0" w:hanging="0"/>
              <w:jc w:val="left"/>
              <w:rPr/>
            </w:pPr>
            <w:r>
              <w:rPr/>
              <w:t> </w:t>
            </w:r>
          </w:p>
        </w:tc>
        <w:tc>
          <w:tcPr>
            <w:tcW w:w="502" w:type="dxa"/>
            <w:tcBorders/>
          </w:tcPr>
          <w:p>
            <w:pPr>
              <w:pStyle w:val="TableContents"/>
              <w:bidi w:val="0"/>
              <w:spacing w:before="0" w:after="0"/>
              <w:ind w:left="0" w:right="0" w:hanging="0"/>
              <w:jc w:val="left"/>
              <w:rPr/>
            </w:pPr>
            <w:r>
              <w:rPr/>
              <w:t> </w:t>
            </w:r>
          </w:p>
        </w:tc>
        <w:tc>
          <w:tcPr>
            <w:tcW w:w="3733" w:type="dxa"/>
            <w:tcBorders/>
          </w:tcPr>
          <w:p>
            <w:pPr>
              <w:pStyle w:val="TableContents"/>
              <w:bidi w:val="0"/>
              <w:spacing w:before="0" w:after="0"/>
              <w:ind w:left="0" w:right="0" w:hanging="0"/>
              <w:jc w:val="left"/>
              <w:rPr/>
            </w:pPr>
            <w:r>
              <w:rPr/>
              <w:t> </w:t>
            </w:r>
          </w:p>
        </w:tc>
        <w:tc>
          <w:tcPr>
            <w:tcW w:w="1181" w:type="dxa"/>
            <w:tcBorders/>
          </w:tcPr>
          <w:p>
            <w:pPr>
              <w:pStyle w:val="TableContents"/>
              <w:bidi w:val="0"/>
              <w:spacing w:before="0" w:after="0"/>
              <w:ind w:left="0" w:right="0" w:hanging="0"/>
              <w:jc w:val="left"/>
              <w:rPr/>
            </w:pPr>
            <w:r>
              <w:rPr/>
              <w:t> </w:t>
            </w:r>
          </w:p>
        </w:tc>
      </w:tr>
      <w:tr>
        <w:trPr/>
        <w:tc>
          <w:tcPr>
            <w:tcW w:w="4789" w:type="dxa"/>
            <w:tcBorders/>
          </w:tcPr>
          <w:p>
            <w:pPr>
              <w:pStyle w:val="TableContents"/>
              <w:bidi w:val="0"/>
              <w:spacing w:before="0" w:after="0"/>
              <w:ind w:left="0" w:right="0" w:hanging="0"/>
              <w:jc w:val="left"/>
              <w:rPr/>
            </w:pPr>
            <w:r>
              <w:rPr/>
              <w:t> </w:t>
            </w:r>
          </w:p>
        </w:tc>
        <w:tc>
          <w:tcPr>
            <w:tcW w:w="502" w:type="dxa"/>
            <w:tcBorders/>
          </w:tcPr>
          <w:p>
            <w:pPr>
              <w:pStyle w:val="TableContents"/>
              <w:bidi w:val="0"/>
              <w:spacing w:before="0" w:after="0"/>
              <w:ind w:left="0" w:right="0" w:hanging="0"/>
              <w:jc w:val="left"/>
              <w:rPr/>
            </w:pPr>
            <w:r>
              <w:rPr/>
              <w:t> </w:t>
            </w:r>
          </w:p>
        </w:tc>
        <w:tc>
          <w:tcPr>
            <w:tcW w:w="3733" w:type="dxa"/>
            <w:tcBorders/>
            <w:vAlign w:val="bottom"/>
          </w:tcPr>
          <w:p>
            <w:pPr>
              <w:pStyle w:val="TableContents"/>
              <w:bidi w:val="0"/>
              <w:spacing w:before="0" w:after="0"/>
              <w:ind w:left="0" w:right="0" w:hanging="0"/>
              <w:jc w:val="left"/>
              <w:rPr/>
            </w:pPr>
            <w:r>
              <w:rPr/>
              <w:t> </w:t>
            </w:r>
          </w:p>
        </w:tc>
        <w:tc>
          <w:tcPr>
            <w:tcW w:w="1181" w:type="dxa"/>
            <w:tcBorders/>
          </w:tcPr>
          <w:p>
            <w:pPr>
              <w:pStyle w:val="TableContents"/>
              <w:bidi w:val="0"/>
              <w:spacing w:before="0" w:after="0"/>
              <w:ind w:left="0" w:right="0" w:hanging="0"/>
              <w:jc w:val="left"/>
              <w:rPr/>
            </w:pPr>
            <w:r>
              <w:rPr/>
              <w:t> </w:t>
            </w:r>
          </w:p>
        </w:tc>
      </w:tr>
      <w:tr>
        <w:trPr/>
        <w:tc>
          <w:tcPr>
            <w:tcW w:w="4789" w:type="dxa"/>
            <w:tcBorders/>
          </w:tcPr>
          <w:p>
            <w:pPr>
              <w:pStyle w:val="TableContents"/>
              <w:bidi w:val="0"/>
              <w:spacing w:before="0" w:after="0"/>
              <w:ind w:left="0" w:right="0" w:hanging="0"/>
              <w:jc w:val="left"/>
              <w:rPr/>
            </w:pPr>
            <w:r>
              <w:rPr/>
              <w:t> </w:t>
            </w:r>
          </w:p>
        </w:tc>
        <w:tc>
          <w:tcPr>
            <w:tcW w:w="502"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33" w:type="dxa"/>
            <w:tcBorders>
              <w:bottom w:val="single" w:sz="2" w:space="0" w:color="000000"/>
            </w:tcBorders>
            <w:tcMar>
              <w:bottom w:w="28" w:type="dxa"/>
            </w:tcMar>
          </w:tcPr>
          <w:p>
            <w:pPr>
              <w:pStyle w:val="TableContents"/>
              <w:bidi w:val="0"/>
              <w:spacing w:before="0" w:after="0"/>
              <w:ind w:left="0" w:right="0" w:hanging="0"/>
              <w:jc w:val="left"/>
              <w:rPr/>
            </w:pPr>
            <w:r>
              <w:rPr/>
              <w:t> </w:t>
            </w:r>
          </w:p>
        </w:tc>
        <w:tc>
          <w:tcPr>
            <w:tcW w:w="1181" w:type="dxa"/>
            <w:tcBorders/>
          </w:tcPr>
          <w:p>
            <w:pPr>
              <w:pStyle w:val="TableContents"/>
              <w:bidi w:val="0"/>
              <w:spacing w:before="0" w:after="0"/>
              <w:ind w:left="0" w:right="0" w:hanging="0"/>
              <w:jc w:val="left"/>
              <w:rPr/>
            </w:pPr>
            <w:r>
              <w:rPr/>
              <w:t> </w:t>
            </w:r>
          </w:p>
        </w:tc>
      </w:tr>
      <w:tr>
        <w:trPr/>
        <w:tc>
          <w:tcPr>
            <w:tcW w:w="4789" w:type="dxa"/>
            <w:tcBorders/>
          </w:tcPr>
          <w:p>
            <w:pPr>
              <w:pStyle w:val="TableContents"/>
              <w:bidi w:val="0"/>
              <w:spacing w:before="0" w:after="0"/>
              <w:ind w:left="0" w:right="0" w:hanging="0"/>
              <w:jc w:val="left"/>
              <w:rPr/>
            </w:pPr>
            <w:r>
              <w:rPr/>
              <w:t> </w:t>
            </w:r>
          </w:p>
        </w:tc>
        <w:tc>
          <w:tcPr>
            <w:tcW w:w="502" w:type="dxa"/>
            <w:tcBorders/>
          </w:tcPr>
          <w:p>
            <w:pPr>
              <w:pStyle w:val="TableContents"/>
              <w:bidi w:val="0"/>
              <w:spacing w:before="0" w:after="0"/>
              <w:ind w:left="0" w:right="0" w:hanging="0"/>
              <w:jc w:val="left"/>
              <w:rPr/>
            </w:pPr>
            <w:r>
              <w:rPr/>
              <w:t> </w:t>
            </w:r>
          </w:p>
        </w:tc>
        <w:tc>
          <w:tcPr>
            <w:tcW w:w="373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1181" w:type="dxa"/>
            <w:tcBorders/>
          </w:tcPr>
          <w:p>
            <w:pPr>
              <w:pStyle w:val="TableContents"/>
              <w:bidi w:val="0"/>
              <w:spacing w:before="0" w:after="0"/>
              <w:ind w:left="0" w:right="0" w:hanging="0"/>
              <w:jc w:val="left"/>
              <w:rPr/>
            </w:pPr>
            <w:r>
              <w:rPr/>
              <w:t> </w:t>
            </w:r>
          </w:p>
        </w:tc>
      </w:tr>
      <w:tr>
        <w:trPr/>
        <w:tc>
          <w:tcPr>
            <w:tcW w:w="4789" w:type="dxa"/>
            <w:tcBorders/>
          </w:tcPr>
          <w:p>
            <w:pPr>
              <w:pStyle w:val="TableContents"/>
              <w:bidi w:val="0"/>
              <w:spacing w:before="0" w:after="0"/>
              <w:ind w:left="0" w:right="0" w:hanging="0"/>
              <w:jc w:val="left"/>
              <w:rPr/>
            </w:pPr>
            <w:r>
              <w:rPr/>
              <w:t> </w:t>
            </w:r>
          </w:p>
        </w:tc>
        <w:tc>
          <w:tcPr>
            <w:tcW w:w="502" w:type="dxa"/>
            <w:tcBorders/>
          </w:tcPr>
          <w:p>
            <w:pPr>
              <w:pStyle w:val="TableContents"/>
              <w:bidi w:val="0"/>
              <w:spacing w:before="0" w:after="0"/>
              <w:ind w:left="0" w:right="0" w:hanging="0"/>
              <w:jc w:val="left"/>
              <w:rPr/>
            </w:pPr>
            <w:r>
              <w:rPr/>
              <w:t> </w:t>
            </w:r>
          </w:p>
        </w:tc>
        <w:tc>
          <w:tcPr>
            <w:tcW w:w="373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c>
          <w:tcPr>
            <w:tcW w:w="1181"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i/>
        </w:rPr>
      </w:pPr>
      <w:r>
        <w:rPr>
          <w:i/>
        </w:rPr>
        <w:t>[Financing Agreement 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90"/>
        <w:gridCol w:w="756"/>
        <w:gridCol w:w="3964"/>
        <w:gridCol w:w="1095"/>
      </w:tblGrid>
      <w:tr>
        <w:trPr/>
        <w:tc>
          <w:tcPr>
            <w:tcW w:w="4390" w:type="dxa"/>
            <w:tcBorders/>
          </w:tcPr>
          <w:p>
            <w:pPr>
              <w:pStyle w:val="TableContents"/>
              <w:bidi w:val="0"/>
              <w:spacing w:before="0" w:after="0"/>
              <w:ind w:left="0" w:right="0" w:hanging="0"/>
              <w:jc w:val="left"/>
              <w:rPr/>
            </w:pPr>
            <w:r>
              <w:rPr/>
              <w:t> </w:t>
            </w:r>
          </w:p>
        </w:tc>
        <w:tc>
          <w:tcPr>
            <w:tcW w:w="4720" w:type="dxa"/>
            <w:gridSpan w:val="2"/>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ADMINISTRATIVE AGENT AND COLLATERAL AGENT</w:t>
            </w:r>
            <w:r>
              <w:rPr>
                <w:rFonts w:ascii="Times New Roman" w:hAnsi="Times New Roman"/>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TCW ASSET MANAGEMENT COMPANY LLC</w:t>
            </w:r>
          </w:p>
        </w:tc>
        <w:tc>
          <w:tcPr>
            <w:tcW w:w="1095" w:type="dxa"/>
            <w:tcBorders/>
          </w:tcPr>
          <w:p>
            <w:pPr>
              <w:pStyle w:val="TableContents"/>
              <w:bidi w:val="0"/>
              <w:spacing w:before="0" w:after="0"/>
              <w:ind w:left="0" w:right="0" w:hanging="0"/>
              <w:jc w:val="left"/>
              <w:rPr/>
            </w:pPr>
            <w:r>
              <w:rPr/>
              <w:t> </w:t>
            </w:r>
          </w:p>
        </w:tc>
      </w:tr>
      <w:tr>
        <w:trPr/>
        <w:tc>
          <w:tcPr>
            <w:tcW w:w="4390" w:type="dxa"/>
            <w:tcBorders/>
          </w:tcPr>
          <w:p>
            <w:pPr>
              <w:pStyle w:val="TableContents"/>
              <w:bidi w:val="0"/>
              <w:spacing w:before="0" w:after="0"/>
              <w:ind w:left="0" w:right="0" w:hanging="0"/>
              <w:jc w:val="left"/>
              <w:rPr/>
            </w:pPr>
            <w:r>
              <w:rPr/>
              <w:t> </w:t>
            </w:r>
          </w:p>
        </w:tc>
        <w:tc>
          <w:tcPr>
            <w:tcW w:w="756" w:type="dxa"/>
            <w:tcBorders/>
          </w:tcPr>
          <w:p>
            <w:pPr>
              <w:pStyle w:val="TableContents"/>
              <w:bidi w:val="0"/>
              <w:spacing w:before="0" w:after="0"/>
              <w:ind w:left="0" w:right="0" w:hanging="0"/>
              <w:jc w:val="left"/>
              <w:rPr/>
            </w:pPr>
            <w:r>
              <w:rPr/>
              <w:t> </w:t>
            </w:r>
          </w:p>
        </w:tc>
        <w:tc>
          <w:tcPr>
            <w:tcW w:w="3964" w:type="dxa"/>
            <w:tcBorders/>
          </w:tcPr>
          <w:p>
            <w:pPr>
              <w:pStyle w:val="TableContents"/>
              <w:bidi w:val="0"/>
              <w:spacing w:before="0" w:after="0"/>
              <w:ind w:left="0" w:right="0" w:hanging="0"/>
              <w:jc w:val="left"/>
              <w:rPr/>
            </w:pPr>
            <w:r>
              <w:rPr/>
              <w:t> </w:t>
            </w:r>
          </w:p>
        </w:tc>
        <w:tc>
          <w:tcPr>
            <w:tcW w:w="1095" w:type="dxa"/>
            <w:tcBorders/>
          </w:tcPr>
          <w:p>
            <w:pPr>
              <w:pStyle w:val="TableContents"/>
              <w:bidi w:val="0"/>
              <w:spacing w:before="0" w:after="0"/>
              <w:ind w:left="0" w:right="0" w:hanging="0"/>
              <w:jc w:val="left"/>
              <w:rPr/>
            </w:pPr>
            <w:r>
              <w:rPr/>
              <w:t> </w:t>
            </w:r>
          </w:p>
        </w:tc>
      </w:tr>
      <w:tr>
        <w:trPr/>
        <w:tc>
          <w:tcPr>
            <w:tcW w:w="4390" w:type="dxa"/>
            <w:tcBorders/>
          </w:tcPr>
          <w:p>
            <w:pPr>
              <w:pStyle w:val="TableContents"/>
              <w:bidi w:val="0"/>
              <w:spacing w:before="0" w:after="0"/>
              <w:ind w:left="0" w:right="0" w:hanging="0"/>
              <w:jc w:val="left"/>
              <w:rPr/>
            </w:pPr>
            <w:r>
              <w:rPr/>
              <w:t> </w:t>
            </w:r>
          </w:p>
        </w:tc>
        <w:tc>
          <w:tcPr>
            <w:tcW w:w="756" w:type="dxa"/>
            <w:tcBorders/>
          </w:tcPr>
          <w:p>
            <w:pPr>
              <w:pStyle w:val="TableContents"/>
              <w:bidi w:val="0"/>
              <w:spacing w:before="0" w:after="0"/>
              <w:ind w:left="0" w:right="0" w:hanging="0"/>
              <w:jc w:val="left"/>
              <w:rPr/>
            </w:pPr>
            <w:r>
              <w:rPr/>
              <w:t> </w:t>
            </w:r>
          </w:p>
        </w:tc>
        <w:tc>
          <w:tcPr>
            <w:tcW w:w="3964" w:type="dxa"/>
            <w:tcBorders/>
            <w:vAlign w:val="bottom"/>
          </w:tcPr>
          <w:p>
            <w:pPr>
              <w:pStyle w:val="TableContents"/>
              <w:bidi w:val="0"/>
              <w:spacing w:before="0" w:after="0"/>
              <w:ind w:left="0" w:right="0" w:hanging="0"/>
              <w:jc w:val="left"/>
              <w:rPr/>
            </w:pPr>
            <w:r>
              <w:rPr/>
              <w:t> </w:t>
            </w:r>
          </w:p>
        </w:tc>
        <w:tc>
          <w:tcPr>
            <w:tcW w:w="1095" w:type="dxa"/>
            <w:tcBorders/>
          </w:tcPr>
          <w:p>
            <w:pPr>
              <w:pStyle w:val="TableContents"/>
              <w:bidi w:val="0"/>
              <w:spacing w:before="0" w:after="0"/>
              <w:ind w:left="0" w:right="0" w:hanging="0"/>
              <w:jc w:val="left"/>
              <w:rPr/>
            </w:pPr>
            <w:r>
              <w:rPr/>
              <w:t> </w:t>
            </w:r>
          </w:p>
        </w:tc>
      </w:tr>
      <w:tr>
        <w:trPr/>
        <w:tc>
          <w:tcPr>
            <w:tcW w:w="4390" w:type="dxa"/>
            <w:tcBorders/>
          </w:tcPr>
          <w:p>
            <w:pPr>
              <w:pStyle w:val="TableContents"/>
              <w:bidi w:val="0"/>
              <w:spacing w:before="0" w:after="0"/>
              <w:ind w:left="0" w:right="0" w:hanging="0"/>
              <w:jc w:val="left"/>
              <w:rPr/>
            </w:pPr>
            <w:r>
              <w:rPr/>
              <w:t> </w:t>
            </w:r>
          </w:p>
        </w:tc>
        <w:tc>
          <w:tcPr>
            <w:tcW w:w="75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964" w:type="dxa"/>
            <w:tcBorders>
              <w:bottom w:val="single" w:sz="2" w:space="0" w:color="000000"/>
            </w:tcBorders>
            <w:tcMar>
              <w:bottom w:w="28" w:type="dxa"/>
            </w:tcMar>
          </w:tcPr>
          <w:p>
            <w:pPr>
              <w:pStyle w:val="TableContents"/>
              <w:bidi w:val="0"/>
              <w:spacing w:before="0" w:after="0"/>
              <w:ind w:left="0" w:right="0" w:hanging="0"/>
              <w:jc w:val="left"/>
              <w:rPr/>
            </w:pPr>
            <w:r>
              <w:rPr/>
              <w:t> </w:t>
            </w:r>
          </w:p>
        </w:tc>
        <w:tc>
          <w:tcPr>
            <w:tcW w:w="1095" w:type="dxa"/>
            <w:tcBorders/>
          </w:tcPr>
          <w:p>
            <w:pPr>
              <w:pStyle w:val="TableContents"/>
              <w:bidi w:val="0"/>
              <w:spacing w:before="0" w:after="0"/>
              <w:ind w:left="0" w:right="0" w:hanging="0"/>
              <w:jc w:val="left"/>
              <w:rPr/>
            </w:pPr>
            <w:r>
              <w:rPr/>
              <w:t> </w:t>
            </w:r>
          </w:p>
        </w:tc>
      </w:tr>
      <w:tr>
        <w:trPr/>
        <w:tc>
          <w:tcPr>
            <w:tcW w:w="4390" w:type="dxa"/>
            <w:tcBorders/>
          </w:tcPr>
          <w:p>
            <w:pPr>
              <w:pStyle w:val="TableContents"/>
              <w:bidi w:val="0"/>
              <w:spacing w:before="0" w:after="0"/>
              <w:ind w:left="0" w:right="0" w:hanging="0"/>
              <w:jc w:val="left"/>
              <w:rPr/>
            </w:pPr>
            <w:r>
              <w:rPr/>
              <w:t> </w:t>
            </w:r>
          </w:p>
        </w:tc>
        <w:tc>
          <w:tcPr>
            <w:tcW w:w="756" w:type="dxa"/>
            <w:tcBorders/>
          </w:tcPr>
          <w:p>
            <w:pPr>
              <w:pStyle w:val="TableContents"/>
              <w:bidi w:val="0"/>
              <w:spacing w:before="0" w:after="0"/>
              <w:ind w:left="0" w:right="0" w:hanging="0"/>
              <w:jc w:val="left"/>
              <w:rPr/>
            </w:pPr>
            <w:r>
              <w:rPr/>
              <w:t> </w:t>
            </w:r>
          </w:p>
        </w:tc>
        <w:tc>
          <w:tcPr>
            <w:tcW w:w="396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1095" w:type="dxa"/>
            <w:tcBorders/>
          </w:tcPr>
          <w:p>
            <w:pPr>
              <w:pStyle w:val="TableContents"/>
              <w:bidi w:val="0"/>
              <w:spacing w:before="0" w:after="0"/>
              <w:ind w:left="0" w:right="0" w:hanging="0"/>
              <w:jc w:val="left"/>
              <w:rPr/>
            </w:pPr>
            <w:r>
              <w:rPr/>
              <w:t> </w:t>
            </w:r>
          </w:p>
        </w:tc>
      </w:tr>
      <w:tr>
        <w:trPr/>
        <w:tc>
          <w:tcPr>
            <w:tcW w:w="4390" w:type="dxa"/>
            <w:tcBorders/>
          </w:tcPr>
          <w:p>
            <w:pPr>
              <w:pStyle w:val="TableContents"/>
              <w:bidi w:val="0"/>
              <w:spacing w:before="0" w:after="0"/>
              <w:ind w:left="0" w:right="0" w:hanging="0"/>
              <w:jc w:val="left"/>
              <w:rPr/>
            </w:pPr>
            <w:r>
              <w:rPr/>
              <w:t> </w:t>
            </w:r>
          </w:p>
        </w:tc>
        <w:tc>
          <w:tcPr>
            <w:tcW w:w="756" w:type="dxa"/>
            <w:tcBorders/>
          </w:tcPr>
          <w:p>
            <w:pPr>
              <w:pStyle w:val="TableContents"/>
              <w:bidi w:val="0"/>
              <w:spacing w:before="0" w:after="0"/>
              <w:ind w:left="0" w:right="0" w:hanging="0"/>
              <w:jc w:val="left"/>
              <w:rPr/>
            </w:pPr>
            <w:r>
              <w:rPr/>
              <w:t> </w:t>
            </w:r>
          </w:p>
        </w:tc>
        <w:tc>
          <w:tcPr>
            <w:tcW w:w="396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c>
          <w:tcPr>
            <w:tcW w:w="1095" w:type="dxa"/>
            <w:tcBorders/>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i/>
        </w:rPr>
      </w:pPr>
      <w:r>
        <w:rPr>
          <w:i/>
        </w:rPr>
        <w:t>[Financing Agreement 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8"/>
        <w:gridCol w:w="523"/>
        <w:gridCol w:w="3751"/>
        <w:gridCol w:w="1173"/>
      </w:tblGrid>
      <w:tr>
        <w:trPr/>
        <w:tc>
          <w:tcPr>
            <w:tcW w:w="4758" w:type="dxa"/>
            <w:tcBorders/>
          </w:tcPr>
          <w:p>
            <w:pPr>
              <w:pStyle w:val="TableContents"/>
              <w:bidi w:val="0"/>
              <w:spacing w:before="0" w:after="0"/>
              <w:ind w:left="0" w:right="0" w:hanging="0"/>
              <w:jc w:val="left"/>
              <w:rPr/>
            </w:pPr>
            <w:r>
              <w:rPr/>
              <w:t> </w:t>
            </w:r>
          </w:p>
        </w:tc>
        <w:tc>
          <w:tcPr>
            <w:tcW w:w="4274" w:type="dxa"/>
            <w:gridSpan w:val="2"/>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SERVICING AGENT</w:t>
            </w:r>
            <w:r>
              <w:rPr>
                <w:rFonts w:ascii="Times New Roman" w:hAnsi="Times New Roman"/>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WINGSPIRE CAPITAL LLC</w:t>
            </w:r>
          </w:p>
        </w:tc>
        <w:tc>
          <w:tcPr>
            <w:tcW w:w="1173" w:type="dxa"/>
            <w:tcBorders/>
          </w:tcPr>
          <w:p>
            <w:pPr>
              <w:pStyle w:val="TableContents"/>
              <w:bidi w:val="0"/>
              <w:spacing w:before="0" w:after="0"/>
              <w:ind w:left="0" w:right="0" w:hanging="0"/>
              <w:jc w:val="left"/>
              <w:rPr/>
            </w:pPr>
            <w:r>
              <w:rPr/>
              <w:t> </w:t>
            </w:r>
          </w:p>
        </w:tc>
      </w:tr>
      <w:tr>
        <w:trPr/>
        <w:tc>
          <w:tcPr>
            <w:tcW w:w="4758" w:type="dxa"/>
            <w:tcBorders/>
          </w:tcPr>
          <w:p>
            <w:pPr>
              <w:pStyle w:val="TableContents"/>
              <w:bidi w:val="0"/>
              <w:spacing w:before="0" w:after="0"/>
              <w:ind w:left="0" w:right="0" w:hanging="0"/>
              <w:jc w:val="left"/>
              <w:rPr/>
            </w:pPr>
            <w:r>
              <w:rPr/>
              <w:t> </w:t>
            </w:r>
          </w:p>
        </w:tc>
        <w:tc>
          <w:tcPr>
            <w:tcW w:w="523" w:type="dxa"/>
            <w:tcBorders/>
          </w:tcPr>
          <w:p>
            <w:pPr>
              <w:pStyle w:val="TableContents"/>
              <w:bidi w:val="0"/>
              <w:spacing w:before="0" w:after="0"/>
              <w:ind w:left="0" w:right="0" w:hanging="0"/>
              <w:jc w:val="left"/>
              <w:rPr/>
            </w:pPr>
            <w:r>
              <w:rPr/>
              <w:t> </w:t>
            </w:r>
          </w:p>
        </w:tc>
        <w:tc>
          <w:tcPr>
            <w:tcW w:w="3751" w:type="dxa"/>
            <w:tcBorders/>
          </w:tcPr>
          <w:p>
            <w:pPr>
              <w:pStyle w:val="TableContents"/>
              <w:bidi w:val="0"/>
              <w:spacing w:before="0" w:after="0"/>
              <w:ind w:left="0" w:right="0" w:hanging="0"/>
              <w:jc w:val="left"/>
              <w:rPr/>
            </w:pPr>
            <w:r>
              <w:rPr/>
              <w:t> </w:t>
            </w:r>
          </w:p>
        </w:tc>
        <w:tc>
          <w:tcPr>
            <w:tcW w:w="1173" w:type="dxa"/>
            <w:tcBorders/>
          </w:tcPr>
          <w:p>
            <w:pPr>
              <w:pStyle w:val="TableContents"/>
              <w:bidi w:val="0"/>
              <w:spacing w:before="0" w:after="0"/>
              <w:ind w:left="0" w:right="0" w:hanging="0"/>
              <w:jc w:val="left"/>
              <w:rPr/>
            </w:pPr>
            <w:r>
              <w:rPr/>
              <w:t> </w:t>
            </w:r>
          </w:p>
        </w:tc>
      </w:tr>
      <w:tr>
        <w:trPr/>
        <w:tc>
          <w:tcPr>
            <w:tcW w:w="4758" w:type="dxa"/>
            <w:tcBorders/>
          </w:tcPr>
          <w:p>
            <w:pPr>
              <w:pStyle w:val="TableContents"/>
              <w:bidi w:val="0"/>
              <w:spacing w:before="0" w:after="0"/>
              <w:ind w:left="0" w:right="0" w:hanging="0"/>
              <w:jc w:val="left"/>
              <w:rPr/>
            </w:pPr>
            <w:r>
              <w:rPr/>
              <w:t> </w:t>
            </w:r>
          </w:p>
        </w:tc>
        <w:tc>
          <w:tcPr>
            <w:tcW w:w="523" w:type="dxa"/>
            <w:tcBorders/>
          </w:tcPr>
          <w:p>
            <w:pPr>
              <w:pStyle w:val="TableContents"/>
              <w:bidi w:val="0"/>
              <w:spacing w:before="0" w:after="0"/>
              <w:ind w:left="0" w:right="0" w:hanging="0"/>
              <w:jc w:val="left"/>
              <w:rPr/>
            </w:pPr>
            <w:r>
              <w:rPr/>
              <w:t> </w:t>
            </w:r>
          </w:p>
        </w:tc>
        <w:tc>
          <w:tcPr>
            <w:tcW w:w="3751" w:type="dxa"/>
            <w:tcBorders/>
            <w:vAlign w:val="bottom"/>
          </w:tcPr>
          <w:p>
            <w:pPr>
              <w:pStyle w:val="TableContents"/>
              <w:bidi w:val="0"/>
              <w:spacing w:before="0" w:after="0"/>
              <w:ind w:left="0" w:right="0" w:hanging="0"/>
              <w:jc w:val="left"/>
              <w:rPr/>
            </w:pPr>
            <w:r>
              <w:rPr/>
              <w:t> </w:t>
            </w:r>
          </w:p>
        </w:tc>
        <w:tc>
          <w:tcPr>
            <w:tcW w:w="1173" w:type="dxa"/>
            <w:tcBorders/>
          </w:tcPr>
          <w:p>
            <w:pPr>
              <w:pStyle w:val="TableContents"/>
              <w:bidi w:val="0"/>
              <w:spacing w:before="0" w:after="0"/>
              <w:ind w:left="0" w:right="0" w:hanging="0"/>
              <w:jc w:val="left"/>
              <w:rPr/>
            </w:pPr>
            <w:r>
              <w:rPr/>
              <w:t> </w:t>
            </w:r>
          </w:p>
        </w:tc>
      </w:tr>
      <w:tr>
        <w:trPr/>
        <w:tc>
          <w:tcPr>
            <w:tcW w:w="4758" w:type="dxa"/>
            <w:tcBorders/>
          </w:tcPr>
          <w:p>
            <w:pPr>
              <w:pStyle w:val="TableContents"/>
              <w:bidi w:val="0"/>
              <w:spacing w:before="0" w:after="0"/>
              <w:ind w:left="0" w:right="0" w:hanging="0"/>
              <w:jc w:val="left"/>
              <w:rPr/>
            </w:pPr>
            <w:r>
              <w:rPr/>
              <w:t> </w:t>
            </w:r>
          </w:p>
        </w:tc>
        <w:tc>
          <w:tcPr>
            <w:tcW w:w="52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51" w:type="dxa"/>
            <w:tcBorders>
              <w:bottom w:val="single" w:sz="2" w:space="0" w:color="000000"/>
            </w:tcBorders>
            <w:tcMar>
              <w:bottom w:w="28" w:type="dxa"/>
            </w:tcMar>
          </w:tcPr>
          <w:p>
            <w:pPr>
              <w:pStyle w:val="TableContents"/>
              <w:bidi w:val="0"/>
              <w:spacing w:before="0" w:after="0"/>
              <w:ind w:left="0" w:right="0" w:hanging="0"/>
              <w:jc w:val="left"/>
              <w:rPr/>
            </w:pPr>
            <w:r>
              <w:rPr/>
              <w:t> </w:t>
            </w:r>
          </w:p>
        </w:tc>
        <w:tc>
          <w:tcPr>
            <w:tcW w:w="1173" w:type="dxa"/>
            <w:tcBorders/>
          </w:tcPr>
          <w:p>
            <w:pPr>
              <w:pStyle w:val="TableContents"/>
              <w:bidi w:val="0"/>
              <w:spacing w:before="0" w:after="0"/>
              <w:ind w:left="0" w:right="0" w:hanging="0"/>
              <w:jc w:val="left"/>
              <w:rPr/>
            </w:pPr>
            <w:r>
              <w:rPr/>
              <w:t> </w:t>
            </w:r>
          </w:p>
        </w:tc>
      </w:tr>
      <w:tr>
        <w:trPr/>
        <w:tc>
          <w:tcPr>
            <w:tcW w:w="4758" w:type="dxa"/>
            <w:tcBorders/>
          </w:tcPr>
          <w:p>
            <w:pPr>
              <w:pStyle w:val="TableContents"/>
              <w:bidi w:val="0"/>
              <w:spacing w:before="0" w:after="0"/>
              <w:ind w:left="0" w:right="0" w:hanging="0"/>
              <w:jc w:val="left"/>
              <w:rPr/>
            </w:pPr>
            <w:r>
              <w:rPr/>
              <w:t> </w:t>
            </w:r>
          </w:p>
        </w:tc>
        <w:tc>
          <w:tcPr>
            <w:tcW w:w="523" w:type="dxa"/>
            <w:tcBorders/>
          </w:tcPr>
          <w:p>
            <w:pPr>
              <w:pStyle w:val="TableContents"/>
              <w:bidi w:val="0"/>
              <w:spacing w:before="0" w:after="0"/>
              <w:ind w:left="0" w:right="0" w:hanging="0"/>
              <w:jc w:val="left"/>
              <w:rPr/>
            </w:pPr>
            <w:r>
              <w:rPr/>
              <w:t> </w:t>
            </w:r>
          </w:p>
        </w:tc>
        <w:tc>
          <w:tcPr>
            <w:tcW w:w="375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1173" w:type="dxa"/>
            <w:tcBorders/>
          </w:tcPr>
          <w:p>
            <w:pPr>
              <w:pStyle w:val="TableContents"/>
              <w:bidi w:val="0"/>
              <w:spacing w:before="0" w:after="0"/>
              <w:ind w:left="0" w:right="0" w:hanging="0"/>
              <w:jc w:val="left"/>
              <w:rPr/>
            </w:pPr>
            <w:r>
              <w:rPr/>
              <w:t> </w:t>
            </w:r>
          </w:p>
        </w:tc>
      </w:tr>
      <w:tr>
        <w:trPr/>
        <w:tc>
          <w:tcPr>
            <w:tcW w:w="4758" w:type="dxa"/>
            <w:tcBorders/>
          </w:tcPr>
          <w:p>
            <w:pPr>
              <w:pStyle w:val="TableContents"/>
              <w:bidi w:val="0"/>
              <w:spacing w:before="0" w:after="0"/>
              <w:ind w:left="0" w:right="0" w:hanging="0"/>
              <w:jc w:val="left"/>
              <w:rPr/>
            </w:pPr>
            <w:r>
              <w:rPr/>
              <w:t> </w:t>
            </w:r>
          </w:p>
        </w:tc>
        <w:tc>
          <w:tcPr>
            <w:tcW w:w="523" w:type="dxa"/>
            <w:tcBorders/>
          </w:tcPr>
          <w:p>
            <w:pPr>
              <w:pStyle w:val="TableContents"/>
              <w:bidi w:val="0"/>
              <w:spacing w:before="0" w:after="0"/>
              <w:ind w:left="0" w:right="0" w:hanging="0"/>
              <w:jc w:val="left"/>
              <w:rPr/>
            </w:pPr>
            <w:r>
              <w:rPr/>
              <w:t> </w:t>
            </w:r>
          </w:p>
        </w:tc>
        <w:tc>
          <w:tcPr>
            <w:tcW w:w="375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c>
          <w:tcPr>
            <w:tcW w:w="1173" w:type="dxa"/>
            <w:tcBorders/>
          </w:tcPr>
          <w:p>
            <w:pPr>
              <w:pStyle w:val="TableContents"/>
              <w:bidi w:val="0"/>
              <w:spacing w:before="0" w:after="0"/>
              <w:ind w:left="0" w:right="0" w:hanging="0"/>
              <w:jc w:val="left"/>
              <w:rPr/>
            </w:pPr>
            <w:r>
              <w:rPr/>
              <w:t> </w:t>
            </w:r>
          </w:p>
        </w:tc>
      </w:tr>
    </w:tbl>
    <w:p>
      <w:pPr>
        <w:pStyle w:val="TextBody"/>
        <w:bidi w:val="0"/>
        <w:spacing w:before="0" w:after="0"/>
        <w:ind w:left="4780" w:right="0" w:hanging="460"/>
        <w:jc w:val="left"/>
        <w:rPr>
          <w:caps w:val="false"/>
          <w:smallCaps w:val="false"/>
        </w:rPr>
      </w:pPr>
      <w:r>
        <w:rPr>
          <w:caps w:val="false"/>
          <w:smallCaps w:val="false"/>
        </w:rPr>
        <w:t> </w:t>
      </w:r>
    </w:p>
    <w:p>
      <w:pPr>
        <w:pStyle w:val="TextBody"/>
        <w:bidi w:val="0"/>
        <w:spacing w:before="0" w:after="0"/>
        <w:ind w:left="0" w:right="0" w:hanging="0"/>
        <w:jc w:val="center"/>
        <w:rPr>
          <w:i/>
        </w:rPr>
      </w:pPr>
      <w:r>
        <w:rPr>
          <w:i/>
        </w:rPr>
        <w:t>[Financing Agreement 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6"/>
        <w:gridCol w:w="491"/>
        <w:gridCol w:w="3666"/>
        <w:gridCol w:w="1192"/>
      </w:tblGrid>
      <w:tr>
        <w:trPr/>
        <w:tc>
          <w:tcPr>
            <w:tcW w:w="4856" w:type="dxa"/>
            <w:tcBorders/>
          </w:tcPr>
          <w:p>
            <w:pPr>
              <w:pStyle w:val="TableContents"/>
              <w:bidi w:val="0"/>
              <w:spacing w:before="0" w:after="0"/>
              <w:ind w:left="0" w:right="0" w:hanging="0"/>
              <w:jc w:val="left"/>
              <w:rPr/>
            </w:pPr>
            <w:r>
              <w:rPr/>
              <w:t> </w:t>
            </w:r>
          </w:p>
        </w:tc>
        <w:tc>
          <w:tcPr>
            <w:tcW w:w="4157" w:type="dxa"/>
            <w:gridSpan w:val="2"/>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LENDERS</w:t>
            </w:r>
            <w:r>
              <w:rPr>
                <w:rFonts w:ascii="Times New Roman" w:hAnsi="Times New Roman"/>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w:t>
            </w:r>
          </w:p>
        </w:tc>
        <w:tc>
          <w:tcPr>
            <w:tcW w:w="1192" w:type="dxa"/>
            <w:tcBorders/>
          </w:tcPr>
          <w:p>
            <w:pPr>
              <w:pStyle w:val="TableContents"/>
              <w:bidi w:val="0"/>
              <w:spacing w:before="0" w:after="0"/>
              <w:ind w:left="0" w:right="0" w:hanging="0"/>
              <w:jc w:val="left"/>
              <w:rPr/>
            </w:pPr>
            <w:r>
              <w:rPr/>
              <w:t> </w:t>
            </w:r>
          </w:p>
        </w:tc>
      </w:tr>
      <w:tr>
        <w:trPr/>
        <w:tc>
          <w:tcPr>
            <w:tcW w:w="4856" w:type="dxa"/>
            <w:tcBorders/>
          </w:tcPr>
          <w:p>
            <w:pPr>
              <w:pStyle w:val="TableContents"/>
              <w:bidi w:val="0"/>
              <w:spacing w:before="0" w:after="0"/>
              <w:ind w:left="0" w:right="0" w:hanging="0"/>
              <w:jc w:val="left"/>
              <w:rPr/>
            </w:pPr>
            <w:r>
              <w:rPr/>
              <w:t> </w:t>
            </w:r>
          </w:p>
        </w:tc>
        <w:tc>
          <w:tcPr>
            <w:tcW w:w="491" w:type="dxa"/>
            <w:tcBorders/>
          </w:tcPr>
          <w:p>
            <w:pPr>
              <w:pStyle w:val="TableContents"/>
              <w:bidi w:val="0"/>
              <w:spacing w:before="0" w:after="0"/>
              <w:ind w:left="0" w:right="0" w:hanging="0"/>
              <w:jc w:val="left"/>
              <w:rPr/>
            </w:pPr>
            <w:r>
              <w:rPr/>
              <w:t> </w:t>
            </w:r>
          </w:p>
        </w:tc>
        <w:tc>
          <w:tcPr>
            <w:tcW w:w="3666" w:type="dxa"/>
            <w:tcBorders/>
          </w:tcPr>
          <w:p>
            <w:pPr>
              <w:pStyle w:val="TableContents"/>
              <w:bidi w:val="0"/>
              <w:spacing w:before="0" w:after="0"/>
              <w:ind w:left="0" w:right="0" w:hanging="0"/>
              <w:jc w:val="left"/>
              <w:rPr/>
            </w:pPr>
            <w:r>
              <w:rPr/>
              <w:t> </w:t>
            </w:r>
          </w:p>
        </w:tc>
        <w:tc>
          <w:tcPr>
            <w:tcW w:w="1192" w:type="dxa"/>
            <w:tcBorders/>
          </w:tcPr>
          <w:p>
            <w:pPr>
              <w:pStyle w:val="TableContents"/>
              <w:bidi w:val="0"/>
              <w:spacing w:before="0" w:after="0"/>
              <w:ind w:left="0" w:right="0" w:hanging="0"/>
              <w:jc w:val="left"/>
              <w:rPr/>
            </w:pPr>
            <w:r>
              <w:rPr/>
              <w:t> </w:t>
            </w:r>
          </w:p>
        </w:tc>
      </w:tr>
      <w:tr>
        <w:trPr/>
        <w:tc>
          <w:tcPr>
            <w:tcW w:w="4856" w:type="dxa"/>
            <w:tcBorders/>
          </w:tcPr>
          <w:p>
            <w:pPr>
              <w:pStyle w:val="TableContents"/>
              <w:bidi w:val="0"/>
              <w:spacing w:before="0" w:after="0"/>
              <w:ind w:left="0" w:right="0" w:hanging="0"/>
              <w:jc w:val="left"/>
              <w:rPr/>
            </w:pPr>
            <w:r>
              <w:rPr/>
              <w:t> </w:t>
            </w:r>
          </w:p>
        </w:tc>
        <w:tc>
          <w:tcPr>
            <w:tcW w:w="491" w:type="dxa"/>
            <w:tcBorders/>
          </w:tcPr>
          <w:p>
            <w:pPr>
              <w:pStyle w:val="TableContents"/>
              <w:bidi w:val="0"/>
              <w:spacing w:before="0" w:after="0"/>
              <w:ind w:left="0" w:right="0" w:hanging="0"/>
              <w:jc w:val="left"/>
              <w:rPr/>
            </w:pPr>
            <w:r>
              <w:rPr/>
              <w:t> </w:t>
            </w:r>
          </w:p>
        </w:tc>
        <w:tc>
          <w:tcPr>
            <w:tcW w:w="3666" w:type="dxa"/>
            <w:tcBorders/>
            <w:vAlign w:val="bottom"/>
          </w:tcPr>
          <w:p>
            <w:pPr>
              <w:pStyle w:val="TableContents"/>
              <w:bidi w:val="0"/>
              <w:spacing w:before="0" w:after="0"/>
              <w:ind w:left="0" w:right="0" w:hanging="0"/>
              <w:jc w:val="left"/>
              <w:rPr/>
            </w:pPr>
            <w:r>
              <w:rPr/>
              <w:t> </w:t>
            </w:r>
          </w:p>
        </w:tc>
        <w:tc>
          <w:tcPr>
            <w:tcW w:w="1192" w:type="dxa"/>
            <w:tcBorders/>
          </w:tcPr>
          <w:p>
            <w:pPr>
              <w:pStyle w:val="TableContents"/>
              <w:bidi w:val="0"/>
              <w:spacing w:before="0" w:after="0"/>
              <w:ind w:left="0" w:right="0" w:hanging="0"/>
              <w:jc w:val="left"/>
              <w:rPr/>
            </w:pPr>
            <w:r>
              <w:rPr/>
              <w:t> </w:t>
            </w:r>
          </w:p>
        </w:tc>
      </w:tr>
      <w:tr>
        <w:trPr/>
        <w:tc>
          <w:tcPr>
            <w:tcW w:w="4856" w:type="dxa"/>
            <w:tcBorders/>
          </w:tcPr>
          <w:p>
            <w:pPr>
              <w:pStyle w:val="TableContents"/>
              <w:bidi w:val="0"/>
              <w:spacing w:before="0" w:after="0"/>
              <w:ind w:left="0" w:right="0" w:hanging="0"/>
              <w:jc w:val="left"/>
              <w:rPr/>
            </w:pPr>
            <w:r>
              <w:rPr/>
              <w:t> </w:t>
            </w:r>
          </w:p>
        </w:tc>
        <w:tc>
          <w:tcPr>
            <w:tcW w:w="49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666" w:type="dxa"/>
            <w:tcBorders>
              <w:bottom w:val="single" w:sz="2" w:space="0" w:color="000000"/>
            </w:tcBorders>
            <w:tcMar>
              <w:bottom w:w="28" w:type="dxa"/>
            </w:tcMar>
          </w:tcPr>
          <w:p>
            <w:pPr>
              <w:pStyle w:val="TableContents"/>
              <w:bidi w:val="0"/>
              <w:spacing w:before="0" w:after="0"/>
              <w:ind w:left="0" w:right="0" w:hanging="0"/>
              <w:jc w:val="left"/>
              <w:rPr/>
            </w:pPr>
            <w:r>
              <w:rPr/>
              <w:t> </w:t>
            </w:r>
          </w:p>
        </w:tc>
        <w:tc>
          <w:tcPr>
            <w:tcW w:w="1192" w:type="dxa"/>
            <w:tcBorders/>
          </w:tcPr>
          <w:p>
            <w:pPr>
              <w:pStyle w:val="TableContents"/>
              <w:bidi w:val="0"/>
              <w:spacing w:before="0" w:after="0"/>
              <w:ind w:left="0" w:right="0" w:hanging="0"/>
              <w:jc w:val="left"/>
              <w:rPr/>
            </w:pPr>
            <w:r>
              <w:rPr/>
              <w:t> </w:t>
            </w:r>
          </w:p>
        </w:tc>
      </w:tr>
      <w:tr>
        <w:trPr/>
        <w:tc>
          <w:tcPr>
            <w:tcW w:w="4856" w:type="dxa"/>
            <w:tcBorders/>
          </w:tcPr>
          <w:p>
            <w:pPr>
              <w:pStyle w:val="TableContents"/>
              <w:bidi w:val="0"/>
              <w:spacing w:before="0" w:after="0"/>
              <w:ind w:left="0" w:right="0" w:hanging="0"/>
              <w:jc w:val="left"/>
              <w:rPr/>
            </w:pPr>
            <w:r>
              <w:rPr/>
              <w:t> </w:t>
            </w:r>
          </w:p>
        </w:tc>
        <w:tc>
          <w:tcPr>
            <w:tcW w:w="491" w:type="dxa"/>
            <w:tcBorders/>
          </w:tcPr>
          <w:p>
            <w:pPr>
              <w:pStyle w:val="TableContents"/>
              <w:bidi w:val="0"/>
              <w:spacing w:before="0" w:after="0"/>
              <w:ind w:left="0" w:right="0" w:hanging="0"/>
              <w:jc w:val="left"/>
              <w:rPr/>
            </w:pPr>
            <w:r>
              <w:rPr/>
              <w:t> </w:t>
            </w:r>
          </w:p>
        </w:tc>
        <w:tc>
          <w:tcPr>
            <w:tcW w:w="366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1192" w:type="dxa"/>
            <w:tcBorders/>
          </w:tcPr>
          <w:p>
            <w:pPr>
              <w:pStyle w:val="TableContents"/>
              <w:bidi w:val="0"/>
              <w:spacing w:before="0" w:after="0"/>
              <w:ind w:left="0" w:right="0" w:hanging="0"/>
              <w:jc w:val="left"/>
              <w:rPr/>
            </w:pPr>
            <w:r>
              <w:rPr/>
              <w:t> </w:t>
            </w:r>
          </w:p>
        </w:tc>
      </w:tr>
      <w:tr>
        <w:trPr/>
        <w:tc>
          <w:tcPr>
            <w:tcW w:w="4856" w:type="dxa"/>
            <w:tcBorders/>
          </w:tcPr>
          <w:p>
            <w:pPr>
              <w:pStyle w:val="TableContents"/>
              <w:bidi w:val="0"/>
              <w:spacing w:before="0" w:after="0"/>
              <w:ind w:left="0" w:right="0" w:hanging="0"/>
              <w:jc w:val="left"/>
              <w:rPr/>
            </w:pPr>
            <w:r>
              <w:rPr/>
              <w:t> </w:t>
            </w:r>
          </w:p>
        </w:tc>
        <w:tc>
          <w:tcPr>
            <w:tcW w:w="491" w:type="dxa"/>
            <w:tcBorders/>
          </w:tcPr>
          <w:p>
            <w:pPr>
              <w:pStyle w:val="TableContents"/>
              <w:bidi w:val="0"/>
              <w:spacing w:before="0" w:after="0"/>
              <w:ind w:left="0" w:right="0" w:hanging="0"/>
              <w:jc w:val="left"/>
              <w:rPr/>
            </w:pPr>
            <w:r>
              <w:rPr/>
              <w:t> </w:t>
            </w:r>
          </w:p>
        </w:tc>
        <w:tc>
          <w:tcPr>
            <w:tcW w:w="366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c>
          <w:tcPr>
            <w:tcW w:w="1192" w:type="dxa"/>
            <w:tcBorders/>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i/>
        </w:rPr>
      </w:pPr>
      <w:r>
        <w:rPr>
          <w:i/>
        </w:rPr>
        <w:t>[Financing Agreement Signature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780" w:right="0" w:hanging="460"/>
        <w:jc w:val="right"/>
        <w:rPr>
          <w:rFonts w:ascii="Times New Roman" w:hAnsi="Times New Roman"/>
          <w:b/>
          <w:caps w:val="false"/>
          <w:smallCaps w:val="false"/>
          <w:sz w:val="20"/>
        </w:rPr>
      </w:pPr>
      <w:r>
        <w:rPr>
          <w:rFonts w:ascii="Times New Roman" w:hAnsi="Times New Roman"/>
          <w:b/>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0" w:right="0" w:hanging="460"/>
        <w:jc w:val="center"/>
        <w:rPr>
          <w:rFonts w:ascii="Times New Roman" w:hAnsi="Times New Roman"/>
          <w:caps w:val="false"/>
          <w:smallCaps w:val="false"/>
          <w:sz w:val="20"/>
          <w:u w:val="single"/>
        </w:rPr>
      </w:pPr>
      <w:r>
        <w:rPr>
          <w:rFonts w:ascii="Times New Roman" w:hAnsi="Times New Roman"/>
          <w:caps w:val="false"/>
          <w:smallCaps w:val="false"/>
          <w:sz w:val="20"/>
          <w:u w:val="single"/>
        </w:rPr>
        <w:t>Exhibit G [Form of Borrowing Base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0" w:right="0" w:hanging="46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780" w:right="0" w:hanging="460"/>
        <w:jc w:val="right"/>
        <w:rPr>
          <w:rFonts w:ascii="Times New Roman" w:hAnsi="Times New Roman"/>
          <w:b/>
          <w:caps w:val="false"/>
          <w:smallCaps w:val="false"/>
          <w:sz w:val="20"/>
        </w:rPr>
      </w:pPr>
      <w:r>
        <w:rPr>
          <w:rFonts w:ascii="Times New Roman" w:hAnsi="Times New Roman"/>
          <w:b/>
          <w:caps w:val="false"/>
          <w:smallCaps w:val="false"/>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0" w:right="0" w:hanging="460"/>
        <w:jc w:val="center"/>
        <w:rPr>
          <w:rFonts w:ascii="Times New Roman" w:hAnsi="Times New Roman"/>
          <w:caps w:val="false"/>
          <w:smallCaps w:val="false"/>
          <w:sz w:val="20"/>
          <w:u w:val="single"/>
        </w:rPr>
      </w:pPr>
      <w:r>
        <w:rPr>
          <w:rFonts w:ascii="Times New Roman" w:hAnsi="Times New Roman"/>
          <w:caps w:val="false"/>
          <w:smallCaps w:val="false"/>
          <w:sz w:val="20"/>
          <w:u w:val="single"/>
        </w:rPr>
        <w:t>Exhibit O - [Form of Amendment No. 3 Penny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0" w:right="0" w:hanging="46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640" w:right="0" w:hanging="460"/>
        <w:jc w:val="center"/>
        <w:rPr>
          <w:caps w:val="false"/>
          <w:smallCaps w:val="false"/>
        </w:rPr>
      </w:pPr>
      <w:r>
        <w:rPr>
          <w:caps w:val="false"/>
          <w:smallCaps w:val="false"/>
        </w:rPr>
        <w:t> </w:t>
      </w:r>
    </w:p>
    <w:p>
      <w:pPr>
        <w:pStyle w:val="TextBody"/>
        <w:bidi w:val="0"/>
        <w:spacing w:before="0" w:after="0"/>
        <w:ind w:left="640" w:right="0" w:hanging="46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8" w:name="ex_995275.htm"/>
      <w:bookmarkStart w:id="9" w:name="ksex_995275"/>
      <w:bookmarkEnd w:id="8"/>
      <w:bookmarkEnd w:id="9"/>
      <w:r>
        <w:rPr>
          <w:rFonts w:ascii="Times New Roman;Times;serif" w:hAnsi="Times New Roman;Times;serif"/>
          <w:b/>
          <w:sz w:val="20"/>
        </w:rPr>
        <w:t>Exhibit 99.1</w:t>
      </w:r>
      <w:r>
        <w:br w:type="page"/>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sz w:val="36"/>
        </w:rPr>
      </w:pPr>
      <w:r>
        <w:rPr>
          <w:rFonts w:ascii="Times New Roman" w:hAnsi="Times New Roman"/>
          <w:b/>
          <w:sz w:val="36"/>
        </w:rPr>
        <w:t>Accuray Announces Plan Involving Financial Strengthening, Strategic Partnerships, Technology Rollouts, and Operational Initiatives to Drive Long-Term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MADISON, Wis., July 29, 2026 — Accuray Incorporated (NASDAQ: ARAY), a leading provider of radiation therapy systems for cancer treatment, today announced a plan incorporating several decisive actions that will drive a significant improvement in its financial position, a fundamental change in its business strategy, the rollout of differentiated technology, and continued transformation in how the company operates. This enables a renewed focus on its core strengths in innovation, sales, and service while continuing to emphasize operational rigor.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Improved Financial Position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has entered into definitive agreements with TCW Asset Management Company LLC, Accuray's primary lender and largest shareholder, that are intended to strengthen the company's financial position, provide additional liquidity and enhance financial flexibility. The TCW agreements encompass six major components: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Deleveraging</w:t>
            </w:r>
            <w:r>
              <w:rPr>
                <w:rFonts w:ascii="Times New Roman;Times;serif" w:hAnsi="Times New Roman;Times;serif"/>
                <w:caps w:val="false"/>
                <w:smallCaps w:val="false"/>
                <w:sz w:val="20"/>
              </w:rPr>
              <w:t>—TCW will exchange $40 million in aggregate principal amount of its term loan for shares of convertible preferred stock having an equivalent aggregate liquidation preference of $40 million. The convertible preferred stock will be convertible into common stock at a conversion price of $.50 per share, an approximately 105.4% premium to the trading price of Accuray’s common stock as of the close of trading yesterday and will accrue dividends at a rate of 8% per annum.</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Equity Investment</w:t>
            </w:r>
            <w:r>
              <w:rPr>
                <w:rFonts w:ascii="Times New Roman;Times;serif" w:hAnsi="Times New Roman;Times;serif"/>
                <w:caps w:val="false"/>
                <w:smallCaps w:val="false"/>
                <w:sz w:val="20"/>
              </w:rPr>
              <w:t>—TCW will invest $15 million of cash in Accuray upon execution of the agreements which will be exchanged for additional shares of the convertible preferred stock concurrently with the debt exchange.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Additional Liquidity</w:t>
            </w:r>
            <w:r>
              <w:rPr>
                <w:rFonts w:ascii="Times New Roman;Times;serif" w:hAnsi="Times New Roman;Times;serif"/>
                <w:caps w:val="false"/>
                <w:smallCaps w:val="false"/>
                <w:sz w:val="20"/>
              </w:rPr>
              <w:t>—In addition to this cash investment, TCW has also agreed to make available to Accuray, subject to certain conditions, a delayed draw term loan of up to $5 million in aggregate principal amount.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Covenant Holiday</w:t>
            </w:r>
            <w:r>
              <w:rPr>
                <w:rFonts w:ascii="Times New Roman;Times;serif" w:hAnsi="Times New Roman;Times;serif"/>
                <w:caps w:val="false"/>
                <w:smallCaps w:val="false"/>
                <w:sz w:val="20"/>
              </w:rPr>
              <w:t>—Certain financial covenants in our existing term loan will be waived through December 31, 2027, with the first covenant testing date as of March 31, 2028, allowing the company additional flexibility and runway to execute on its strategic priorities and planned investments.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Governance</w:t>
            </w:r>
            <w:r>
              <w:rPr>
                <w:rFonts w:ascii="Times New Roman;Times;serif" w:hAnsi="Times New Roman;Times;serif"/>
                <w:caps w:val="false"/>
                <w:smallCaps w:val="false"/>
                <w:sz w:val="20"/>
              </w:rPr>
              <w:t>—The size of the company’s board of directors will be reduced from 8 to 7, with TCW having the right to appoint two directors of the 7 board members. Steven Mayer and Chan Galbato, current members of the board, will serve as designees for TCW. Concurrently with the execution of the agreements, Beverly Huss and Anne Le Grand stepped down from the board. A new independent director will be added in connection with the transaction.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Reverse Stock Split</w:t>
            </w:r>
            <w:r>
              <w:rPr>
                <w:rFonts w:ascii="Times New Roman;Times;serif" w:hAnsi="Times New Roman;Times;serif"/>
                <w:caps w:val="false"/>
                <w:smallCaps w:val="false"/>
                <w:sz w:val="20"/>
              </w:rPr>
              <w:t>—Accuray has agreed to implement a reverse stock split applicable to its common shares in a ratio to be determined.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The agreements with TCW provide us with increased financial flexibility and a stronger balance sheet, which will in turn allow us to focus on our customers, our suppliers, and other important stakeholders,” said Steve La Neve, Accuray’s CEO. “We appreciate TCW’s confidence in our business plan and our strategy that we had articulated last December. Our entire team is determined to reward that confidence by creating significant shareholder value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more detailed description of the transaction with TCW is included in Accuray's Current Report on Form 8-K and will be filed with the Securities and Exchange Commission today. Investors are encouraged to review the Form 8-K for additional information regarding the terms and conditions of the transaction and related agreements. Certain aspects of the above transactions remain subject to customary closing conditions, including stockholder approval of the proposed reverse stock split and certain equity issuances contemplated by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Strategic Partnerships to Improve Performance and Accelerate Innovation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order to enhance Accuray's capabilities across imaging, software, and treatment delivery, while enabling greater focus on its core strengths, Accuray intends to establish collaborations with several leading global technology organizations. These partnerships are designed to accelerate innovation, improve operational performance, and create greater value for customers, patients, and shareholders. For example, Accuray has recently entered into the following non-binding letters of intent (“LOIs”):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Samsung HME America</w:t>
            </w:r>
            <w:r>
              <w:rPr>
                <w:rFonts w:ascii="Times New Roman;Times;serif" w:hAnsi="Times New Roman;Times;serif"/>
                <w:caps w:val="false"/>
                <w:smallCaps w:val="false"/>
                <w:sz w:val="20"/>
              </w:rPr>
              <w:t>—Accuray has entered into a non-binding LOI with Samsung HME America, Inc., dba NeuroLogica Corp. This potential partnership would address volumetric imaging technologies and would enable Accuray’s radiation therapy systems to provide improved visualization and support more precise dose delivery.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RaySearch Laboratories</w:t>
            </w:r>
            <w:r>
              <w:rPr>
                <w:rFonts w:ascii="Times New Roman;Times;serif" w:hAnsi="Times New Roman;Times;serif"/>
                <w:caps w:val="false"/>
                <w:smallCaps w:val="false"/>
                <w:sz w:val="20"/>
              </w:rPr>
              <w:t>—Accuray has entered into a non-binding LOI with RaySearch Laboratories AB (publ) relating to the development of advanced adaptive radiation therapy through integrated online adaptive capabilities. This potential partnership would support more personalized treatment planning.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Both above-mentioned LOIs are nonbinding, and the scope, terms and benefits of any proposed collaboration remain subject to further negotiations and the execution of definitive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under a previously agreed partnership, Accuray and Tata Consultancy Services (TCS) continue to expand their collaboration to improve product development, service capabilities, and operational efficiency. Most recently, the companies finalized development of onboard remote diagnostics designed to enhance system performance, increase uptime, and enable more proactive service capabilities, benefiting customers, patients, and Accuray's service margins. Building on this foundation, Accuray is continuing to leverage TCS's engineering expertise to augment research and development activities, accelerate innovation, and support ongoing efforts to reduce costs while maintaining a strong focus on quality and customer outcomes.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Together, these partnerships are intended to help accelerate the delivery of innovative solutions that improve clinical efficiency, expand treatment capabilities, and support better outcomes for patients around the world, while simultaneously allowing Accuray to focus its energy and resources on its core competencies and to drive improved operational execution across the organization. “We are excited to partner with these world class companies that will help us move faster, innovate more effectively, and deliver greater value to our customers,” said Paul Miele, Chief Commercial Officer. “We are building an ecosystem that strengthens every part of our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Differentiated Internally Developed Technology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Concurrently with the above steps, Accuray has continued to invest in and expand its core technology differentiators,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ClearRT</w:t>
            </w:r>
            <w:r>
              <w:rPr>
                <w:rFonts w:ascii="Times New Roman" w:hAnsi="Times New Roman"/>
                <w:caps w:val="false"/>
                <w:smallCaps w:val="false"/>
                <w:sz w:val="20"/>
              </w:rPr>
              <w:t>® </w:t>
            </w:r>
            <w:r>
              <w:rPr>
                <w:rFonts w:ascii="Times New Roman" w:hAnsi="Times New Roman"/>
                <w:b/>
                <w:caps w:val="false"/>
                <w:smallCaps w:val="false"/>
                <w:sz w:val="20"/>
              </w:rPr>
              <w:t>Helical kVCT Imaging</w:t>
            </w:r>
            <w:r>
              <w:rPr>
                <w:rFonts w:ascii="Times New Roman" w:hAnsi="Times New Roman"/>
                <w:caps w:val="false"/>
                <w:smallCaps w:val="false"/>
                <w:sz w:val="20"/>
              </w:rPr>
              <w:t>—Accuray's advanced volumetric imaging technology is designed to provide high-quality visualization and anatomical detail for treatment planning, patient positioning, and adaptive workflows, helping clinicians make more informed decisions throughout the treatment process.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Synchrony</w:t>
            </w:r>
            <w:r>
              <w:rPr>
                <w:rFonts w:ascii="Times New Roman" w:hAnsi="Times New Roman"/>
                <w:caps w:val="false"/>
                <w:smallCaps w:val="false"/>
                <w:sz w:val="20"/>
              </w:rPr>
              <w:t>® </w:t>
            </w:r>
            <w:r>
              <w:rPr>
                <w:rFonts w:ascii="Times New Roman" w:hAnsi="Times New Roman"/>
                <w:b/>
                <w:caps w:val="false"/>
                <w:smallCaps w:val="false"/>
                <w:sz w:val="20"/>
              </w:rPr>
              <w:t>Motion Management</w:t>
            </w:r>
            <w:r>
              <w:rPr>
                <w:rFonts w:ascii="Times New Roman" w:hAnsi="Times New Roman"/>
                <w:caps w:val="false"/>
                <w:smallCaps w:val="false"/>
                <w:sz w:val="20"/>
              </w:rPr>
              <w:t>—Accuray’s proprietary, internally developed real-time motion tracking technology remains a key differentiator, enabling clinicians to accurately track tumor motion during treatment.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VOLO</w:t>
            </w:r>
            <w:r>
              <w:rPr>
                <w:rFonts w:ascii="Times New Roman" w:hAnsi="Times New Roman"/>
                <w:caps w:val="false"/>
                <w:smallCaps w:val="false"/>
                <w:sz w:val="20"/>
              </w:rPr>
              <w:t>™ </w:t>
            </w:r>
            <w:r>
              <w:rPr>
                <w:rFonts w:ascii="Times New Roman" w:hAnsi="Times New Roman"/>
                <w:b/>
                <w:caps w:val="false"/>
                <w:smallCaps w:val="false"/>
                <w:sz w:val="20"/>
              </w:rPr>
              <w:t>Optimizer &amp; Software Platform</w:t>
            </w:r>
            <w:r>
              <w:rPr>
                <w:rFonts w:ascii="Times New Roman" w:hAnsi="Times New Roman"/>
                <w:caps w:val="false"/>
                <w:smallCaps w:val="false"/>
                <w:sz w:val="20"/>
              </w:rPr>
              <w:t>—Ongoing enhancements and engineering partnerships are focused on improving treatment planning speed, precision, and usability.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has been rolling out these innovations across its installed base of customers and intends to accelerate expansion in the coming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 xml:space="preserve">Transformation Phase II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A Focused and Disciplined Path Forward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After designing and implementing the first phase of its transformation plan, which was primarily focused on efficiency and cost-competitiveness, Accuray is now entering the second phase of its transformation, which consists of decisive steps to strengthen its competitive position, enhance customer value, and drive long-term growth in revenues and margins. The company’s strategies are anchored in three distinct areas: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Differentiated Innovation</w:t>
            </w:r>
            <w:r>
              <w:rPr>
                <w:rFonts w:ascii="Times New Roman" w:hAnsi="Times New Roman"/>
                <w:caps w:val="false"/>
                <w:smallCaps w:val="false"/>
                <w:sz w:val="20"/>
              </w:rPr>
              <w:t>—Advancing internally developed technologies and solutions that address evolving customer needs while improving treatment delivery.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Continuing to Lower Its Cost Structure</w:t>
            </w:r>
            <w:r>
              <w:rPr>
                <w:rFonts w:ascii="Times New Roman" w:hAnsi="Times New Roman"/>
                <w:caps w:val="false"/>
                <w:smallCaps w:val="false"/>
                <w:sz w:val="20"/>
              </w:rPr>
              <w:t>—Simplifying operations, identifying and driving out inefficiencies, and leveraging strategic partnerships.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Expanded Market Reach</w:t>
            </w:r>
            <w:r>
              <w:rPr>
                <w:rFonts w:ascii="Times New Roman" w:hAnsi="Times New Roman"/>
                <w:caps w:val="false"/>
                <w:smallCaps w:val="false"/>
                <w:sz w:val="20"/>
              </w:rPr>
              <w:t>—Strengthening direct and partner-based commercial channels to increase market penetration and improve customer engagement.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We have improved our financial flexibility, increased operating discipline, and built a focused network of partnerships that accelerate innovation and execution,” said Steve La Neve. “We are leaning into what differentiates Accuray—precision, motion management, and intelligent software—to deliver better outcomes and greater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Positioned for the Next Phase of Growth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believes that all of the coordinated actions described above position the company to deliver more consistent performance, better profitability, increased competitiveness, renewed growth, and long-term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We are executing with focus and discipline,” said La Neve. “We are confident in our direction because it is grounded in the needs of our customers and their patients. By listening closely to their challenges and investing in the innovations that matter most, we are helping healthcare professionals deliver exceptional patient care and building long-term value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About Accuray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is committed to expanding the powerful potential of radiation therapy to improve as many lives as possible. We invent unique, market-changing solutions designed to deliver radiation treatments for even the most complex cases—while making commonly treatable cases even easier—to meet the full spectrum of patient needs. We are dedicated to continuous innovation in radiation therapy for oncology, neuro-radiosurgery, and beyond, as we partner with clinicians and administrators, empowering them to help patients get back to their lives faster. Accuray is headquartered in Madison, Wisconsin, with facilities worldwide. For more information, please visit www.accuray.com or follow us on Facebook, LinkedIn, X, and YouTube.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About TCW</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TCW is a global asset management firm with more than fifty years of experience in fixed income, equities, and alternative strategies. Guided by a disciplined, research-driven approach, TCW concentrates on areas where deep expertise makes a meaningful difference. Through rigorous fundamental analysis, prudent risk management, and high-conviction decision-making, TCW strives to construct portfolios that uncover opportunities and deliver enduring value. TCW partners with institutions, insurers, financial advisors, and individual investors worldwide, providing clarity and a long-term perspective to help our clients navigate in ever-changing markets. For more information, please visit www.tcw.com.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About Samsung Healthcare USA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Samsung Healthcare USA is the unified brand for Samsung HME (Healthcare and Medical Equipment) America, bringing advanced medical imaging solutions to healthcare providers across the United States, including Ultrasound, Digital Radiography, and Computed Tomography. Samsung HME America also serves as the global manufacturing center for Samsung’s mobile Computed Tomography business, leading the development and production of advanced CT systems used by healthcare providers worldwide. As part of the Samsung Healthcare family, Samsung HME America drives the sales, marketing, service, and support of Samsung Healthcare’s imaging solutions across the United States. For more information, please visit: </w:t>
      </w:r>
      <w:r>
        <w:rPr>
          <w:rFonts w:ascii="Times New Roman" w:hAnsi="Times New Roman"/>
          <w:caps w:val="false"/>
          <w:smallCaps w:val="false"/>
          <w:sz w:val="20"/>
          <w:u w:val="single"/>
        </w:rPr>
        <w:t>https://usa.samsunghealthcare.com/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About RaySearch</w:t>
      </w:r>
      <w:r>
        <w:rPr>
          <w:rFonts w:ascii="Times New Roman" w:hAnsi="Times New Roman"/>
          <w:caps w:val="false"/>
          <w:smallCaps w:val="false"/>
          <w:sz w:val="20"/>
        </w:rPr>
        <w:br/>
        <w:t>RaySearch Laboratories AB (publ) is a medical technology company that develops innovative software solutions for improved cancer treatment. RaySearch markets the RayStation® treatment planning system and the oncology information system RayCare®*. The most recent additions to the RaySearch product line are RayIntelligence® and RayCommand®*. RaySearch’s software has been sold to over 1,200 clinics in 51 countries. The company was founded in 2000 as a spin-off from the Karolinska Institute in Stockholm and the share has been listed on Nasdaq Stockholm since 2003 (STO: RAY B). More information is available at raysearchlabs.com.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About Tata Consultancy Services Ltd (TCS)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Tata Consultancy Services (BSE: 532540, NSE: TCS) is the technology partner of choice for industry-leading organizations worldwide. Since its inception in 1968, TCS has upheld the highest standards of innovation, engineering excellence and customer service. It has set an aspiration to become the world's largest AI-led technology services company and is enabling its clients to transform themselves across the full AI stack, from infrastructure to intelligence.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Rooted in the heritage of the Tata Group, TCS is focused on creating long term value for its clients, its investors, its employees, and the community at large. With a highly skilled workforce spread across 56 countries and 194 service delivery centers across the world, the company has been recognized as a top employer in six continents. With the ability to rapidly apply and scale new technologies, the company has built long term partnerships with its clients. Many of these relationships have endured into decades and navigated every technology cycle, from mainframes in the 1970s to artificial intelligence today. For more information, visit www.tcs.com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Safe Harbor Statement</w:t>
      </w:r>
      <w:r>
        <w:rPr>
          <w:rFonts w:ascii="Times New Roman" w:hAnsi="Times New Roman"/>
          <w:caps w:val="false"/>
          <w:smallCaps w:val="false"/>
          <w:sz w:val="20"/>
        </w:rPr>
        <w:br/>
        <w:t>Statements made in this press release that are not statements of historical fact are forward-looking statements and are subject to the "safe harbor" provisions of the Private Securities Litigation Reform Act of 1995. Forward-looking statements in this press release include statements regarding the proposed transactions described above, including expected impact and timing of such transactions, as well as statements regarding our relationships with our customers and other stakeholders, our expectations regarding our transformation plan and our expectations of future financial and operating performance. These forward-looking statements involve risks and uncertainties. If any of these risks or uncertainties materialize, or if any of the company's assumptions prove incorrect, actual results could differ materially from the results expressed or implied by these forward-looking statements. These risks and uncertainties include, but are not limited to, the company's ability to satisfy the closing conditions with respect to its transaction with TCW and achieve the intended benefits of the transactions, the Company’s ability to consummate any of the potential commercial transactions described above, including those contemplated by the LOIs, the ability to achieve the benefits of such transactions, the company’s ability to execute on our financial plan and improve operating and financial performance, risks related to general market conditions and other risks identified under the heading "Risk Factors" in the company's annual report on Form 10-K, filed with the Securities and Exchange Commission (the "SEC") on August 28, 2025, and as updated periodically with the company's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 speak only as of the date the statements are made and are based on information available to the company at the time those statements are made and/or management's good faith belief as of that time with respect to future events. The company assumes no obligation to update forward-looking statements to reflect actual performance or results, changes in assumptions or changes in other factors affecting forward-looking information, except to the extent required by applicable securities laws. Accordingly, investors should not put undue reliance on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Accuray Media Contact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Taylor Bould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Communications Specialist, Accuray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(608) 830-3604</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tbould@accuray.com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Samsung Healthcare USA Media Contact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Anthony Tardi</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Samsung HME America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978.564.8500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atardi@samsunghme.com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right"/>
        <w:rPr>
          <w:rFonts w:ascii="Times New Roman" w:hAnsi="Times New Roman"/>
          <w:sz w:val="20"/>
        </w:rPr>
      </w:pPr>
      <w:r>
        <w:rPr>
          <w:rFonts w:ascii="Times New Roman" w:hAnsi="Times New Roman"/>
          <w:sz w:val="20"/>
        </w:rPr>
        <w:t>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178740</Words>
  <Characters>944748</Characters>
  <CharactersWithSpaces>1129249</CharactersWithSpaces>
  <Paragraphs>6905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